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  <w:lang w:val="en-US" w:eastAsia="zh-CN"/>
        </w:rPr>
        <w:t>国网大同供电公司2025年一至四季度“两率”完成情况公示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0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1.供电可靠率</w:t>
      </w:r>
    </w:p>
    <w:tbl>
      <w:tblPr>
        <w:tblStyle w:val="6"/>
        <w:tblpPr w:leftFromText="180" w:rightFromText="180" w:vertAnchor="page" w:horzAnchor="page" w:tblpX="1906" w:tblpY="3961"/>
        <w:tblOverlap w:val="never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4"/>
        <w:gridCol w:w="2128"/>
        <w:gridCol w:w="1254"/>
        <w:gridCol w:w="1474"/>
        <w:gridCol w:w="1474"/>
        <w:gridCol w:w="14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21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单位</w:t>
            </w:r>
          </w:p>
        </w:tc>
        <w:tc>
          <w:tcPr>
            <w:tcW w:w="56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全口径供电可靠率(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一季度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二季度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三季度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四季度（全年）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国网大同供电公司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99.9588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  <w:t>99.9478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国网平城区供电中心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99.9865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  <w:t>99.9882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国网云冈区供电公司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  <w:t>99.9469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国网新荣区供电公司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99.971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  <w:t>99.956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国网云州区供电公司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99.9442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  <w:t>99.9253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国网阳高县供电公司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99.9135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  <w:t>99.88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国网天镇县供电公司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99.9774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  <w:t>99.9619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国网浑源县供电公司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99.9615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  <w:t>99.9577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国网灵丘县供电公司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9510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  <w:t>99.9378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国网广灵县供电公司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  <w:t>99.9862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11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国网左云县供电公司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99.9539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  <w:t>99.9202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0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2.电压合格率</w:t>
      </w:r>
    </w:p>
    <w:tbl>
      <w:tblPr>
        <w:tblStyle w:val="6"/>
        <w:tblpPr w:leftFromText="180" w:rightFromText="180" w:vertAnchor="page" w:horzAnchor="page" w:tblpX="1809" w:tblpY="9607"/>
        <w:tblOverlap w:val="never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6"/>
        <w:gridCol w:w="2019"/>
        <w:gridCol w:w="1365"/>
        <w:gridCol w:w="1475"/>
        <w:gridCol w:w="1475"/>
        <w:gridCol w:w="14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序号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单位</w:t>
            </w:r>
          </w:p>
        </w:tc>
        <w:tc>
          <w:tcPr>
            <w:tcW w:w="5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全口径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电压合格率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一季度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二季度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三季度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四季度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（全年）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国网大同供电公司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99.895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99.939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国网平城区供电中心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99.991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99.995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国网云冈区供电公司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99.959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99.957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国网新荣区供电公司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99.719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99.889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国网云州区供电公司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99.939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99.965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国网阳高县供电公司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99.898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99.937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国网天镇县供电公司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99.929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99.941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国网浑源县供电公司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99.752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99.876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国网灵丘县供电公司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99.934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99.953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国网广灵县供电公司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99.991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99.987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国网左云县供电公司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99.779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99.888 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</w:tr>
    </w:tbl>
    <w:p>
      <w:pPr>
        <w:tabs>
          <w:tab w:val="left" w:pos="2664"/>
        </w:tabs>
        <w:bidi w:val="0"/>
        <w:jc w:val="left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eastAsia="zh-CN"/>
      </w:rPr>
    </w:pPr>
    <w:bookmarkStart w:id="0" w:name="_GoBack"/>
    <w:r>
      <w:rPr>
        <w:rFonts w:hint="eastAsia" w:eastAsia="宋体"/>
        <w:lang w:eastAsia="zh-CN"/>
      </w:rPr>
      <w:drawing>
        <wp:inline distT="0" distB="0" distL="114300" distR="114300">
          <wp:extent cx="5269865" cy="621665"/>
          <wp:effectExtent l="0" t="0" r="6985" b="6985"/>
          <wp:docPr id="1" name="图片 1" descr="D:\渠道\营业厅信息公示\2025\信息公示清单及内容2025年\2.网上国网交费步骤-页脚.jpg2.网上国网交费步骤-页脚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D:\渠道\营业厅信息公示\2025\信息公示清单及内容2025年\2.网上国网交费步骤-页脚.jpg2.网上国网交费步骤-页脚"/>
                  <pic:cNvPicPr>
                    <a:picLocks noChangeAspect="1"/>
                  </pic:cNvPicPr>
                </pic:nvPicPr>
                <pic:blipFill>
                  <a:blip r:embed="rId1"/>
                  <a:srcRect b="9268"/>
                  <a:stretch>
                    <a:fillRect/>
                  </a:stretch>
                </pic:blipFill>
                <pic:spPr>
                  <a:xfrm>
                    <a:off x="0" y="0"/>
                    <a:ext cx="5269865" cy="6216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351FF"/>
    <w:rsid w:val="122D0967"/>
    <w:rsid w:val="182476B2"/>
    <w:rsid w:val="40931333"/>
    <w:rsid w:val="4DC17122"/>
    <w:rsid w:val="51D33BA6"/>
    <w:rsid w:val="5CDC3C43"/>
    <w:rsid w:val="6E767F93"/>
    <w:rsid w:val="75061B64"/>
    <w:rsid w:val="7C247327"/>
    <w:rsid w:val="7E5E1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60" w:beforeAutospacing="0" w:after="60" w:afterAutospacing="0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626</Characters>
  <Paragraphs>181</Paragraphs>
  <TotalTime>4</TotalTime>
  <ScaleCrop>false</ScaleCrop>
  <LinksUpToDate>false</LinksUpToDate>
  <CharactersWithSpaces>635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2021-11-25T06:37:00Z</dcterms:created>
  <dc:creator>程世军</dc:creator>
  <cp:lastModifiedBy>Administrator</cp:lastModifiedBy>
  <dcterms:modified xsi:type="dcterms:W3CDTF">2025-09-03T10:23:20Z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1AD526BE79684914AA11BC16951DE51F</vt:lpwstr>
  </property>
</Properties>
</file>