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after="292" w:afterLines="50" w:line="800" w:lineRule="exact"/>
        <w:ind w:left="0" w:leftChars="0" w:firstLine="0" w:firstLineChars="0"/>
        <w:jc w:val="center"/>
        <w:textAlignment w:val="auto"/>
        <w:outlineLvl w:val="9"/>
        <w:rPr>
          <w:rFonts w:ascii="方正小标宋_GBK" w:hAnsi="方正小标宋_GBK" w:eastAsia="方正小标宋_GBK" w:cs="方正小标宋_GBK"/>
          <w:sz w:val="44"/>
          <w:szCs w:val="24"/>
          <w:highlight w:val="none"/>
        </w:rPr>
      </w:pPr>
      <w:bookmarkStart w:id="0" w:name="_GoBack"/>
      <w:bookmarkEnd w:id="0"/>
      <w:r>
        <w:rPr>
          <w:rFonts w:hint="eastAsia" w:ascii="方正小标宋_GBK" w:hAnsi="方正小标宋_GBK" w:eastAsia="方正小标宋_GBK" w:cs="方正小标宋_GBK"/>
          <w:bCs/>
          <w:sz w:val="44"/>
          <w:szCs w:val="24"/>
          <w:highlight w:val="none"/>
        </w:rPr>
        <w:t>国网</w:t>
      </w:r>
      <w:r>
        <w:rPr>
          <w:rFonts w:hint="eastAsia" w:ascii="方正小标宋_GBK" w:hAnsi="方正小标宋_GBK" w:eastAsia="方正小标宋_GBK" w:cs="方正小标宋_GBK"/>
          <w:bCs/>
          <w:sz w:val="44"/>
          <w:szCs w:val="24"/>
          <w:highlight w:val="none"/>
          <w:lang w:val="en-US" w:eastAsia="zh-CN"/>
        </w:rPr>
        <w:t>大同市广灵县</w:t>
      </w:r>
      <w:r>
        <w:rPr>
          <w:rFonts w:hint="eastAsia" w:ascii="方正小标宋_GBK" w:hAnsi="方正小标宋_GBK" w:eastAsia="方正小标宋_GBK" w:cs="方正小标宋_GBK"/>
          <w:bCs/>
          <w:sz w:val="44"/>
          <w:szCs w:val="24"/>
          <w:highlight w:val="none"/>
          <w:lang w:eastAsia="zh-CN"/>
        </w:rPr>
        <w:t>供电</w:t>
      </w:r>
      <w:r>
        <w:rPr>
          <w:rFonts w:hint="eastAsia" w:ascii="方正小标宋_GBK" w:hAnsi="方正小标宋_GBK" w:eastAsia="方正小标宋_GBK" w:cs="方正小标宋_GBK"/>
          <w:bCs/>
          <w:sz w:val="44"/>
          <w:szCs w:val="24"/>
          <w:highlight w:val="none"/>
        </w:rPr>
        <w:t>公司信息公开工作目录</w:t>
      </w:r>
    </w:p>
    <w:tbl>
      <w:tblPr>
        <w:tblStyle w:val="8"/>
        <w:tblW w:w="906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1169"/>
        <w:gridCol w:w="433"/>
        <w:gridCol w:w="1828"/>
        <w:gridCol w:w="1559"/>
        <w:gridCol w:w="1384"/>
        <w:gridCol w:w="22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210" w:hRule="atLeast"/>
          <w:jc w:val="center"/>
        </w:trPr>
        <w:tc>
          <w:tcPr>
            <w:tcW w:w="1595" w:type="dxa"/>
            <w:gridSpan w:val="2"/>
            <w:tcBorders>
              <w:tl2br w:val="nil"/>
              <w:tr2bl w:val="nil"/>
            </w:tcBorders>
            <w:vAlign w:val="center"/>
          </w:tcPr>
          <w:p>
            <w:pPr>
              <w:keepNext w:val="0"/>
              <w:keepLines w:val="0"/>
              <w:pageBreakBefore w:val="0"/>
              <w:widowControl/>
              <w:kinsoku/>
              <w:wordWrap w:val="0"/>
              <w:overflowPunct/>
              <w:topLinePunct/>
              <w:autoSpaceDE/>
              <w:autoSpaceDN/>
              <w:bidi w:val="0"/>
              <w:adjustRightInd w:val="0"/>
              <w:snapToGrid w:val="0"/>
              <w:spacing w:line="280" w:lineRule="exact"/>
              <w:ind w:left="0" w:leftChars="0"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公开事项类别</w:t>
            </w:r>
          </w:p>
        </w:tc>
        <w:tc>
          <w:tcPr>
            <w:tcW w:w="2261" w:type="dxa"/>
            <w:gridSpan w:val="2"/>
            <w:tcBorders>
              <w:tl2br w:val="nil"/>
              <w:tr2bl w:val="nil"/>
            </w:tcBorders>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公开事项内容</w:t>
            </w:r>
          </w:p>
        </w:tc>
        <w:tc>
          <w:tcPr>
            <w:tcW w:w="1559" w:type="dxa"/>
            <w:tcBorders>
              <w:tl2br w:val="nil"/>
              <w:tr2bl w:val="nil"/>
            </w:tcBorders>
            <w:vAlign w:val="top"/>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公开载体</w:t>
            </w:r>
          </w:p>
        </w:tc>
        <w:tc>
          <w:tcPr>
            <w:tcW w:w="1384" w:type="dxa"/>
            <w:tcBorders>
              <w:tl2br w:val="nil"/>
              <w:tr2bl w:val="nil"/>
            </w:tcBorders>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lang w:eastAsia="zh-CN"/>
              </w:rPr>
            </w:pPr>
            <w:r>
              <w:rPr>
                <w:rFonts w:hint="eastAsia" w:ascii="仿宋_GB2312" w:hAnsi="仿宋_GB2312" w:eastAsia="仿宋_GB2312" w:cs="仿宋_GB2312"/>
                <w:b/>
                <w:sz w:val="21"/>
                <w:szCs w:val="21"/>
                <w:highlight w:val="none"/>
                <w:lang w:eastAsia="zh-CN"/>
              </w:rPr>
              <w:t>提供部门</w:t>
            </w:r>
          </w:p>
        </w:tc>
        <w:tc>
          <w:tcPr>
            <w:tcW w:w="2261" w:type="dxa"/>
            <w:tcBorders>
              <w:tl2br w:val="nil"/>
              <w:tr2bl w:val="nil"/>
            </w:tcBorders>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pacing w:val="-6"/>
                <w:sz w:val="21"/>
                <w:szCs w:val="21"/>
                <w:highlight w:val="none"/>
                <w:lang w:eastAsia="zh-CN"/>
              </w:rPr>
            </w:pPr>
            <w:r>
              <w:rPr>
                <w:rFonts w:hint="eastAsia" w:ascii="仿宋_GB2312" w:hAnsi="仿宋_GB2312" w:eastAsia="仿宋_GB2312" w:cs="仿宋_GB2312"/>
                <w:b/>
                <w:spacing w:val="-6"/>
                <w:sz w:val="21"/>
                <w:szCs w:val="21"/>
                <w:highlight w:val="none"/>
                <w:lang w:eastAsia="zh-CN"/>
              </w:rPr>
              <w:t>公开频次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0" w:hRule="atLeast"/>
          <w:jc w:val="center"/>
        </w:trPr>
        <w:tc>
          <w:tcPr>
            <w:tcW w:w="1595" w:type="dxa"/>
            <w:gridSpan w:val="2"/>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基本信息</w:t>
            </w:r>
          </w:p>
        </w:tc>
        <w:tc>
          <w:tcPr>
            <w:tcW w:w="2261" w:type="dxa"/>
            <w:gridSpan w:val="2"/>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公司介绍</w:t>
            </w:r>
          </w:p>
        </w:tc>
        <w:tc>
          <w:tcPr>
            <w:tcW w:w="1559" w:type="dxa"/>
            <w:tcBorders>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highlight w:val="none"/>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highlight w:val="none"/>
              </w:rPr>
            </w:pPr>
            <w:r>
              <w:rPr>
                <w:rFonts w:hint="eastAsia" w:ascii="仿宋_GB2312" w:hAnsi="仿宋_GB2312" w:eastAsia="仿宋_GB2312" w:cs="仿宋_GB2312"/>
                <w:spacing w:val="-6"/>
                <w:sz w:val="21"/>
                <w:szCs w:val="24"/>
                <w:highlight w:val="none"/>
                <w:lang w:eastAsia="zh-CN"/>
              </w:rPr>
              <w:t>综合管理部</w:t>
            </w:r>
          </w:p>
        </w:tc>
        <w:tc>
          <w:tcPr>
            <w:tcW w:w="22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1"/>
                <w:highlight w:val="none"/>
              </w:rPr>
              <w:t>自发生变化之日起10个工作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op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工商注册登记信息</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p>
        </w:tc>
        <w:tc>
          <w:tcPr>
            <w:tcW w:w="1559" w:type="dxa"/>
            <w:tcBorders>
              <w:top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z w:val="21"/>
                <w:szCs w:val="22"/>
                <w:highlight w:val="none"/>
                <w:lang w:val="en-US" w:eastAsia="zh-CN"/>
              </w:rPr>
              <w:t>国家企业信用信息公示系统</w:t>
            </w:r>
          </w:p>
        </w:tc>
        <w:tc>
          <w:tcPr>
            <w:tcW w:w="138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综合管理部</w:t>
            </w:r>
          </w:p>
        </w:tc>
        <w:tc>
          <w:tcPr>
            <w:tcW w:w="22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自决定/法定变更事项发生之日起或行政批准之日起30日内申请变更。</w:t>
            </w: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公司治理及管理架构</w:t>
            </w:r>
          </w:p>
        </w:tc>
        <w:tc>
          <w:tcPr>
            <w:tcW w:w="1559" w:type="dxa"/>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rPr>
              <w:t>对外门户网站</w:t>
            </w:r>
            <w:r>
              <w:rPr>
                <w:rFonts w:hint="eastAsia" w:ascii="仿宋_GB2312" w:hAnsi="仿宋_GB2312" w:eastAsia="仿宋_GB2312" w:cs="仿宋_GB2312"/>
                <w:spacing w:val="-6"/>
                <w:sz w:val="21"/>
                <w:szCs w:val="21"/>
                <w:highlight w:val="none"/>
                <w:lang w:eastAsia="zh-CN"/>
              </w:rPr>
              <w:t>、</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lang w:eastAsia="zh-CN"/>
              </w:rPr>
              <w:t>年鉴</w:t>
            </w:r>
          </w:p>
        </w:tc>
        <w:tc>
          <w:tcPr>
            <w:tcW w:w="138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综合管理部</w:t>
            </w:r>
          </w:p>
        </w:tc>
        <w:tc>
          <w:tcPr>
            <w:tcW w:w="22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1"/>
                <w:highlight w:val="none"/>
                <w:lang w:val="en-US" w:eastAsia="zh-CN"/>
              </w:rPr>
              <w:t>根据具体情况确定。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重要事项</w:t>
            </w:r>
          </w:p>
        </w:tc>
        <w:tc>
          <w:tcPr>
            <w:tcW w:w="2261" w:type="dxa"/>
            <w:gridSpan w:val="2"/>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公司领导</w:t>
            </w:r>
          </w:p>
        </w:tc>
        <w:tc>
          <w:tcPr>
            <w:tcW w:w="1559" w:type="dxa"/>
            <w:tcBorders>
              <w:top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rPr>
            </w:pPr>
            <w:r>
              <w:rPr>
                <w:rFonts w:hint="eastAsia" w:ascii="仿宋_GB2312" w:hAnsi="仿宋_GB2312" w:eastAsia="仿宋_GB2312" w:cs="仿宋_GB2312"/>
                <w:spacing w:val="-6"/>
                <w:sz w:val="21"/>
                <w:szCs w:val="21"/>
                <w:highlight w:val="none"/>
              </w:rPr>
              <w:t>对外门户网站</w:t>
            </w:r>
          </w:p>
        </w:tc>
        <w:tc>
          <w:tcPr>
            <w:tcW w:w="1384"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lang w:eastAsia="zh-CN"/>
              </w:rPr>
              <w:t>综合管理部</w:t>
            </w:r>
          </w:p>
        </w:tc>
        <w:tc>
          <w:tcPr>
            <w:tcW w:w="226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pacing w:val="-6"/>
                <w:sz w:val="21"/>
                <w:szCs w:val="21"/>
                <w:highlight w:val="none"/>
              </w:rPr>
              <w:t>自</w:t>
            </w:r>
            <w:r>
              <w:rPr>
                <w:rFonts w:hint="eastAsia" w:ascii="仿宋_GB2312" w:hAnsi="仿宋_GB2312" w:eastAsia="仿宋_GB2312" w:cs="仿宋_GB2312"/>
                <w:spacing w:val="-6"/>
                <w:sz w:val="21"/>
                <w:szCs w:val="21"/>
                <w:highlight w:val="none"/>
                <w:lang w:eastAsia="zh-CN"/>
              </w:rPr>
              <w:t>宣布</w:t>
            </w:r>
            <w:r>
              <w:rPr>
                <w:rFonts w:hint="eastAsia" w:ascii="仿宋_GB2312" w:hAnsi="仿宋_GB2312" w:eastAsia="仿宋_GB2312" w:cs="仿宋_GB2312"/>
                <w:spacing w:val="-6"/>
                <w:sz w:val="21"/>
                <w:szCs w:val="21"/>
                <w:highlight w:val="none"/>
              </w:rPr>
              <w:t>之日起</w:t>
            </w:r>
            <w:r>
              <w:rPr>
                <w:rFonts w:hint="eastAsia" w:ascii="仿宋_GB2312" w:hAnsi="仿宋_GB2312" w:eastAsia="仿宋_GB2312" w:cs="仿宋_GB2312"/>
                <w:spacing w:val="-6"/>
                <w:sz w:val="21"/>
                <w:szCs w:val="21"/>
                <w:highlight w:val="none"/>
                <w:lang w:val="en-US" w:eastAsia="zh-CN"/>
              </w:rPr>
              <w:t>10</w:t>
            </w:r>
            <w:r>
              <w:rPr>
                <w:rFonts w:hint="eastAsia" w:ascii="仿宋_GB2312" w:hAnsi="仿宋_GB2312" w:eastAsia="仿宋_GB2312" w:cs="仿宋_GB2312"/>
                <w:spacing w:val="-6"/>
                <w:sz w:val="21"/>
                <w:szCs w:val="21"/>
                <w:highlight w:val="none"/>
              </w:rPr>
              <w:t>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sz w:val="21"/>
                <w:szCs w:val="24"/>
                <w:highlight w:val="none"/>
              </w:rPr>
              <w:t>重大突发事件事态发展和应急处置</w:t>
            </w:r>
          </w:p>
        </w:tc>
        <w:tc>
          <w:tcPr>
            <w:tcW w:w="1559"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pacing w:val="-6"/>
                <w:sz w:val="21"/>
                <w:szCs w:val="21"/>
                <w:highlight w:val="none"/>
                <w:lang w:eastAsia="zh-CN"/>
              </w:rPr>
            </w:pPr>
            <w:r>
              <w:rPr>
                <w:rFonts w:hint="eastAsia" w:ascii="仿宋_GB2312" w:hAnsi="仿宋_GB2312" w:eastAsia="仿宋_GB2312" w:cs="仿宋_GB2312"/>
                <w:color w:val="auto"/>
                <w:spacing w:val="-6"/>
                <w:sz w:val="21"/>
                <w:szCs w:val="21"/>
                <w:highlight w:val="none"/>
              </w:rPr>
              <w:t>对外门户网站</w:t>
            </w:r>
          </w:p>
        </w:tc>
        <w:tc>
          <w:tcPr>
            <w:tcW w:w="1384"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1"/>
                <w:szCs w:val="24"/>
                <w:highlight w:val="none"/>
                <w:lang w:eastAsia="zh-CN"/>
              </w:rPr>
              <w:t>安监部</w:t>
            </w:r>
          </w:p>
        </w:tc>
        <w:tc>
          <w:tcPr>
            <w:tcW w:w="226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1"/>
                <w:szCs w:val="24"/>
                <w:highlight w:val="none"/>
              </w:rPr>
              <w:t>根据重大突发事件情况及时</w:t>
            </w:r>
            <w:r>
              <w:rPr>
                <w:rFonts w:hint="eastAsia" w:ascii="仿宋_GB2312" w:hAnsi="仿宋_GB2312" w:eastAsia="仿宋_GB2312" w:cs="仿宋_GB2312"/>
                <w:color w:val="auto"/>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39" w:hRule="atLeast"/>
          <w:jc w:val="center"/>
        </w:trPr>
        <w:tc>
          <w:tcPr>
            <w:tcW w:w="1595" w:type="dxa"/>
            <w:gridSpan w:val="2"/>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rPr>
            </w:pPr>
            <w:r>
              <w:rPr>
                <w:rFonts w:hint="eastAsia" w:ascii="仿宋_GB2312" w:hAnsi="仿宋_GB2312" w:eastAsia="仿宋_GB2312" w:cs="仿宋_GB2312"/>
                <w:sz w:val="21"/>
                <w:szCs w:val="24"/>
                <w:highlight w:val="none"/>
              </w:rPr>
              <w:t>依照法律法规和有关监</w:t>
            </w:r>
            <w:r>
              <w:rPr>
                <w:rFonts w:hint="eastAsia" w:ascii="仿宋_GB2312" w:hAnsi="仿宋_GB2312" w:eastAsia="仿宋_GB2312" w:cs="仿宋_GB2312"/>
                <w:kern w:val="0"/>
                <w:sz w:val="21"/>
                <w:szCs w:val="24"/>
                <w:highlight w:val="none"/>
              </w:rPr>
              <w:t>管机构要求须披露的</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rPr>
            </w:pPr>
            <w:r>
              <w:rPr>
                <w:rFonts w:hint="eastAsia" w:ascii="仿宋_GB2312" w:hAnsi="仿宋_GB2312" w:eastAsia="仿宋_GB2312" w:cs="仿宋_GB2312"/>
                <w:kern w:val="0"/>
                <w:sz w:val="21"/>
                <w:szCs w:val="24"/>
                <w:highlight w:val="none"/>
              </w:rPr>
              <w:t>信息</w:t>
            </w:r>
          </w:p>
        </w:tc>
        <w:tc>
          <w:tcPr>
            <w:tcW w:w="1559"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根据具体情况</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确定</w:t>
            </w:r>
          </w:p>
        </w:tc>
        <w:tc>
          <w:tcPr>
            <w:tcW w:w="1384"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pacing w:val="-6"/>
                <w:sz w:val="21"/>
                <w:szCs w:val="24"/>
                <w:highlight w:val="none"/>
                <w:lang w:eastAsia="zh-CN"/>
              </w:rPr>
              <w:t>综合管理部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安监部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运检部营销部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调控中心</w:t>
            </w:r>
          </w:p>
        </w:tc>
        <w:tc>
          <w:tcPr>
            <w:tcW w:w="226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用电业务办理</w:t>
            </w:r>
          </w:p>
        </w:tc>
        <w:tc>
          <w:tcPr>
            <w:tcW w:w="2261" w:type="dxa"/>
            <w:gridSpan w:val="2"/>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eastAsia="zh-CN"/>
              </w:rPr>
            </w:pPr>
            <w:r>
              <w:rPr>
                <w:rFonts w:hint="eastAsia" w:ascii="仿宋_GB2312" w:hAnsi="仿宋_GB2312" w:eastAsia="仿宋_GB2312" w:cs="仿宋_GB2312"/>
                <w:kern w:val="0"/>
                <w:sz w:val="21"/>
                <w:szCs w:val="21"/>
                <w:highlight w:val="none"/>
                <w:lang w:bidi="ar"/>
              </w:rPr>
              <w:t>各类用户办理新装、增容与变更用电性质等用电业务的工作流程、办理时限、办理环节、申请资料以及业务办理环节中涉及审核查验事项的范围、明细和依据等用电业务有关信息</w:t>
            </w:r>
          </w:p>
        </w:tc>
        <w:tc>
          <w:tcPr>
            <w:tcW w:w="1559"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营销部</w:t>
            </w:r>
          </w:p>
        </w:tc>
        <w:tc>
          <w:tcPr>
            <w:tcW w:w="226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color w:val="000000"/>
                <w:kern w:val="0"/>
                <w:sz w:val="21"/>
                <w:szCs w:val="21"/>
                <w:highlight w:val="none"/>
                <w:lang w:bidi="ar"/>
              </w:rPr>
              <w:t>国家另有规定的，按照规定执行</w:t>
            </w:r>
            <w:r>
              <w:rPr>
                <w:rFonts w:hint="eastAsia" w:ascii="仿宋_GB2312" w:hAnsi="仿宋_GB2312" w:eastAsia="仿宋_GB2312" w:cs="仿宋_GB2312"/>
                <w:color w:val="000000"/>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电价和收费标准</w:t>
            </w:r>
          </w:p>
        </w:tc>
        <w:tc>
          <w:tcPr>
            <w:tcW w:w="2261" w:type="dxa"/>
            <w:gridSpan w:val="2"/>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执行电价政策</w:t>
            </w:r>
          </w:p>
        </w:tc>
        <w:tc>
          <w:tcPr>
            <w:tcW w:w="1559"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r>
              <w:rPr>
                <w:rFonts w:hint="eastAsia" w:ascii="仿宋_GB2312" w:hAnsi="仿宋_GB2312" w:eastAsia="仿宋_GB2312" w:cs="仿宋_GB2312"/>
                <w:color w:val="auto"/>
                <w:spacing w:val="-6"/>
                <w:sz w:val="21"/>
                <w:szCs w:val="21"/>
                <w:highlight w:val="none"/>
              </w:rPr>
              <w:t>对外门户网站</w:t>
            </w:r>
            <w:r>
              <w:rPr>
                <w:rFonts w:hint="eastAsia" w:ascii="仿宋_GB2312" w:hAnsi="仿宋_GB2312" w:eastAsia="仿宋_GB2312" w:cs="仿宋_GB2312"/>
                <w:color w:val="auto"/>
                <w:spacing w:val="-6"/>
                <w:sz w:val="21"/>
                <w:szCs w:val="21"/>
                <w:highlight w:val="none"/>
                <w:lang w:eastAsia="zh-CN"/>
              </w:rPr>
              <w:t>；</w:t>
            </w:r>
            <w:r>
              <w:rPr>
                <w:rFonts w:hint="eastAsia" w:ascii="仿宋_GB2312" w:hAnsi="仿宋_GB2312" w:eastAsia="仿宋_GB2312" w:cs="仿宋_GB2312"/>
                <w:color w:val="auto"/>
                <w:spacing w:val="-6"/>
                <w:sz w:val="21"/>
                <w:szCs w:val="21"/>
                <w:highlight w:val="none"/>
              </w:rPr>
              <w:t>供电营业厅</w:t>
            </w:r>
          </w:p>
        </w:tc>
        <w:tc>
          <w:tcPr>
            <w:tcW w:w="1384"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lang w:eastAsia="zh-CN"/>
              </w:rPr>
            </w:pPr>
            <w:r>
              <w:rPr>
                <w:rFonts w:hint="eastAsia" w:ascii="仿宋_GB2312" w:hAnsi="仿宋_GB2312" w:eastAsia="仿宋_GB2312" w:cs="仿宋_GB2312"/>
                <w:color w:val="auto"/>
                <w:sz w:val="21"/>
                <w:szCs w:val="21"/>
                <w:highlight w:val="none"/>
                <w:lang w:eastAsia="zh-CN"/>
              </w:rPr>
              <w:t>财务部</w:t>
            </w:r>
          </w:p>
        </w:tc>
        <w:tc>
          <w:tcPr>
            <w:tcW w:w="2261"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z w:val="21"/>
                <w:szCs w:val="21"/>
                <w:highlight w:val="none"/>
              </w:rPr>
              <w:t>自发生变化之日起10个工作</w:t>
            </w:r>
            <w:r>
              <w:rPr>
                <w:rFonts w:hint="eastAsia" w:ascii="仿宋_GB2312" w:hAnsi="仿宋_GB2312" w:eastAsia="仿宋_GB2312" w:cs="仿宋_GB2312"/>
                <w:color w:val="auto"/>
                <w:sz w:val="21"/>
                <w:szCs w:val="21"/>
                <w:highlight w:val="none"/>
                <w:lang w:eastAsia="zh-CN"/>
              </w:rPr>
              <w:t>日</w:t>
            </w:r>
            <w:r>
              <w:rPr>
                <w:rFonts w:hint="eastAsia" w:ascii="仿宋_GB2312" w:hAnsi="仿宋_GB2312" w:eastAsia="仿宋_GB2312" w:cs="仿宋_GB2312"/>
                <w:color w:val="auto"/>
                <w:sz w:val="21"/>
                <w:szCs w:val="21"/>
                <w:highlight w:val="none"/>
              </w:rPr>
              <w:t>内更新</w:t>
            </w:r>
            <w:r>
              <w:rPr>
                <w:rFonts w:hint="eastAsia" w:ascii="仿宋_GB2312" w:hAnsi="仿宋_GB2312" w:eastAsia="仿宋_GB2312" w:cs="仿宋_GB2312"/>
                <w:color w:val="auto"/>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高可靠性供电费等政策收费标准</w:t>
            </w:r>
          </w:p>
        </w:tc>
        <w:tc>
          <w:tcPr>
            <w:tcW w:w="155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国网</w:t>
            </w:r>
            <w:r>
              <w:rPr>
                <w:rFonts w:hint="eastAsia" w:ascii="仿宋_GB2312" w:hAnsi="仿宋_GB2312" w:eastAsia="仿宋_GB2312" w:cs="仿宋_GB2312"/>
                <w:color w:val="000000"/>
                <w:kern w:val="0"/>
                <w:sz w:val="21"/>
                <w:szCs w:val="21"/>
                <w:highlight w:val="none"/>
                <w:lang w:eastAsia="zh-CN" w:bidi="ar"/>
              </w:rPr>
              <w:t>山西电力</w:t>
            </w:r>
            <w:r>
              <w:rPr>
                <w:rFonts w:hint="eastAsia" w:ascii="仿宋_GB2312" w:hAnsi="仿宋_GB2312" w:eastAsia="仿宋_GB2312" w:cs="仿宋_GB2312"/>
                <w:color w:val="000000"/>
                <w:kern w:val="0"/>
                <w:sz w:val="21"/>
                <w:szCs w:val="21"/>
                <w:highlight w:val="none"/>
                <w:lang w:bidi="ar"/>
              </w:rPr>
              <w:t>公司代理购电最新价格公告</w:t>
            </w:r>
          </w:p>
        </w:tc>
        <w:tc>
          <w:tcPr>
            <w:tcW w:w="1559" w:type="dxa"/>
            <w:vMerge w:val="continue"/>
            <w:tcBorders>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pacing w:val="-6"/>
                <w:sz w:val="21"/>
                <w:szCs w:val="24"/>
                <w:highlight w:val="none"/>
              </w:rPr>
              <w:t>月</w:t>
            </w:r>
            <w:r>
              <w:rPr>
                <w:rFonts w:hint="eastAsia" w:ascii="仿宋_GB2312" w:hAnsi="仿宋_GB2312" w:eastAsia="仿宋_GB2312" w:cs="仿宋_GB2312"/>
                <w:color w:val="auto"/>
                <w:spacing w:val="-6"/>
                <w:sz w:val="21"/>
                <w:szCs w:val="24"/>
                <w:highlight w:val="none"/>
                <w:lang w:eastAsia="zh-CN"/>
              </w:rPr>
              <w:t>末后</w:t>
            </w:r>
            <w:r>
              <w:rPr>
                <w:rFonts w:hint="eastAsia" w:ascii="仿宋_GB2312" w:hAnsi="仿宋_GB2312" w:eastAsia="仿宋_GB2312" w:cs="仿宋_GB2312"/>
                <w:color w:val="auto"/>
                <w:spacing w:val="-6"/>
                <w:sz w:val="21"/>
                <w:szCs w:val="24"/>
                <w:highlight w:val="none"/>
                <w:lang w:val="en-US" w:eastAsia="zh-CN"/>
              </w:rPr>
              <w:t>3个工作日内</w:t>
            </w:r>
            <w:r>
              <w:rPr>
                <w:rFonts w:hint="eastAsia" w:ascii="仿宋_GB2312" w:hAnsi="仿宋_GB2312" w:eastAsia="仿宋_GB2312" w:cs="仿宋_GB2312"/>
                <w:color w:val="auto"/>
                <w:spacing w:val="-6"/>
                <w:sz w:val="21"/>
                <w:szCs w:val="24"/>
                <w:highlight w:val="none"/>
              </w:rPr>
              <w:t>主动公开下月信息</w:t>
            </w:r>
            <w:r>
              <w:rPr>
                <w:rFonts w:hint="eastAsia" w:ascii="仿宋_GB2312" w:hAnsi="仿宋_GB2312" w:eastAsia="仿宋_GB2312" w:cs="仿宋_GB2312"/>
                <w:color w:val="auto"/>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供电质量和电力可靠性</w:t>
            </w:r>
          </w:p>
        </w:tc>
        <w:tc>
          <w:tcPr>
            <w:tcW w:w="2261" w:type="dxa"/>
            <w:gridSpan w:val="2"/>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供电可靠性、用户受电端电压合格率等指标及相关政策文件、标准</w:t>
            </w:r>
          </w:p>
        </w:tc>
        <w:tc>
          <w:tcPr>
            <w:tcW w:w="1559" w:type="dxa"/>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lang w:eastAsia="zh-CN"/>
              </w:rPr>
            </w:pPr>
            <w:r>
              <w:rPr>
                <w:rFonts w:hint="eastAsia" w:ascii="仿宋_GB2312" w:hAnsi="仿宋_GB2312" w:eastAsia="仿宋_GB2312" w:cs="仿宋_GB2312"/>
                <w:color w:val="auto"/>
                <w:sz w:val="21"/>
                <w:szCs w:val="21"/>
                <w:highlight w:val="none"/>
                <w:lang w:eastAsia="zh-CN"/>
              </w:rPr>
              <w:t>运检部</w:t>
            </w:r>
          </w:p>
        </w:tc>
        <w:tc>
          <w:tcPr>
            <w:tcW w:w="226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电压合格率和供电可靠性指标按季度发布，自发生变化之日起10个工作日内更新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限电</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信息</w:t>
            </w:r>
          </w:p>
        </w:tc>
        <w:tc>
          <w:tcPr>
            <w:tcW w:w="2261" w:type="dxa"/>
            <w:gridSpan w:val="2"/>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通过政府决策程序后的供电营业区有序用电方案、限电序位</w:t>
            </w:r>
          </w:p>
        </w:tc>
        <w:tc>
          <w:tcPr>
            <w:tcW w:w="1559" w:type="dxa"/>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tcBorders>
              <w:bottom w:val="single" w:color="auto" w:sz="4" w:space="0"/>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调控中心</w:t>
            </w:r>
          </w:p>
        </w:tc>
        <w:tc>
          <w:tcPr>
            <w:tcW w:w="226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自政府相关部门批复后3个工作日内</w:t>
            </w:r>
            <w:r>
              <w:rPr>
                <w:rFonts w:hint="eastAsia" w:ascii="仿宋_GB2312" w:hAnsi="仿宋_GB2312" w:eastAsia="仿宋_GB2312" w:cs="仿宋_GB2312"/>
                <w:spacing w:val="-6"/>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op w:val="single" w:color="auto" w:sz="4" w:space="0"/>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检修</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信息</w:t>
            </w:r>
          </w:p>
        </w:tc>
        <w:tc>
          <w:tcPr>
            <w:tcW w:w="2261" w:type="dxa"/>
            <w:gridSpan w:val="2"/>
            <w:tcBorders>
              <w:top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color w:val="000000"/>
                <w:spacing w:val="0"/>
                <w:kern w:val="0"/>
                <w:sz w:val="21"/>
                <w:szCs w:val="21"/>
                <w:highlight w:val="none"/>
                <w:lang w:bidi="ar"/>
              </w:rPr>
            </w:pPr>
            <w:r>
              <w:rPr>
                <w:rFonts w:hint="eastAsia" w:ascii="仿宋_GB2312" w:hAnsi="仿宋_GB2312" w:eastAsia="仿宋_GB2312" w:cs="仿宋_GB2312"/>
                <w:color w:val="000000"/>
                <w:spacing w:val="0"/>
                <w:kern w:val="0"/>
                <w:sz w:val="21"/>
                <w:szCs w:val="21"/>
                <w:highlight w:val="none"/>
                <w:lang w:bidi="ar"/>
              </w:rPr>
              <w:t>计划检修停电区域、停电线路、停电起止时间等停电信息，具备发布条件的，可将停电影响具体客户信息细化至高压用户和小区</w:t>
            </w:r>
          </w:p>
        </w:tc>
        <w:tc>
          <w:tcPr>
            <w:tcW w:w="155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微信公众号；</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新闻媒体；</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电力短信</w:t>
            </w:r>
          </w:p>
        </w:tc>
        <w:tc>
          <w:tcPr>
            <w:tcW w:w="1384" w:type="dxa"/>
            <w:vMerge w:val="restart"/>
            <w:tcBorders>
              <w:top w:val="single" w:color="auto" w:sz="4" w:space="0"/>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z w:val="21"/>
                <w:szCs w:val="21"/>
                <w:highlight w:val="none"/>
                <w:lang w:eastAsia="zh-CN"/>
              </w:rPr>
              <w:t>运检</w:t>
            </w:r>
            <w:r>
              <w:rPr>
                <w:rFonts w:hint="eastAsia" w:ascii="仿宋_GB2312" w:hAnsi="仿宋_GB2312" w:eastAsia="仿宋_GB2312" w:cs="仿宋_GB2312"/>
                <w:spacing w:val="-11"/>
                <w:sz w:val="21"/>
                <w:szCs w:val="24"/>
                <w:highlight w:val="none"/>
                <w:lang w:val="en-US" w:eastAsia="zh-CN"/>
              </w:rPr>
              <w:t>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调控中心</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6"/>
                <w:sz w:val="21"/>
                <w:szCs w:val="21"/>
                <w:highlight w:val="none"/>
                <w:lang w:eastAsia="zh-CN"/>
              </w:rPr>
            </w:pPr>
          </w:p>
        </w:tc>
        <w:tc>
          <w:tcPr>
            <w:tcW w:w="2261"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按照国家规定及时</w:t>
            </w:r>
            <w:r>
              <w:rPr>
                <w:rFonts w:hint="eastAsia" w:ascii="仿宋_GB2312" w:hAnsi="仿宋_GB2312" w:eastAsia="仿宋_GB2312" w:cs="仿宋_GB2312"/>
                <w:sz w:val="21"/>
                <w:szCs w:val="21"/>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op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临时检修停电区域、停电线路、停电起止时间等停电信息，具备发布条件的，可将停电影响具体客户信息细化至高压用户和小区</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42"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op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故障停电区域、停电线路、停电起止时间等停电信息，具备发布条件的，可将停电影响具体客户信息细化至高压用户和小区</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tc>
        <w:tc>
          <w:tcPr>
            <w:tcW w:w="116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可开放容量相关信息</w:t>
            </w: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本地区配电网接入能力</w:t>
            </w:r>
          </w:p>
        </w:tc>
        <w:tc>
          <w:tcPr>
            <w:tcW w:w="155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2"/>
                <w:highlight w:val="none"/>
                <w:lang w:eastAsia="zh-CN"/>
              </w:rPr>
              <w:t>运检部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color w:val="000000"/>
                <w:spacing w:val="-6"/>
                <w:kern w:val="0"/>
                <w:sz w:val="21"/>
                <w:szCs w:val="21"/>
                <w:highlight w:val="none"/>
                <w:lang w:bidi="ar"/>
              </w:rPr>
              <w:t>按季度更新</w:t>
            </w:r>
            <w:r>
              <w:rPr>
                <w:rFonts w:hint="eastAsia" w:ascii="仿宋_GB2312" w:hAnsi="仿宋_GB2312" w:eastAsia="仿宋_GB2312" w:cs="仿宋_GB2312"/>
                <w:color w:val="000000"/>
                <w:spacing w:val="-6"/>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容量受限情况</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用户受电工程市场公平开放相关信息</w:t>
            </w: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优化营商环境政策</w:t>
            </w:r>
          </w:p>
        </w:tc>
        <w:tc>
          <w:tcPr>
            <w:tcW w:w="155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受电工程验收标准</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《用户受电工程“三指定”行为认定指引》</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05"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政府部门提供的受电工程设计及施工单位资质信息查询渠道</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履行社会责任情况</w:t>
            </w: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社会责任纪事</w:t>
            </w:r>
          </w:p>
        </w:tc>
        <w:tc>
          <w:tcPr>
            <w:tcW w:w="155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6"/>
                <w:sz w:val="21"/>
                <w:szCs w:val="24"/>
                <w:highlight w:val="none"/>
                <w:lang w:eastAsia="zh-CN"/>
              </w:rPr>
              <w:t>综合管理部</w:t>
            </w:r>
          </w:p>
        </w:tc>
        <w:tc>
          <w:tcPr>
            <w:tcW w:w="226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公益扶贫情况</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供电服务承诺以及供电服务热线</w:t>
            </w: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国家电网有限公司供电服务“十项承诺”</w:t>
            </w:r>
          </w:p>
        </w:tc>
        <w:tc>
          <w:tcPr>
            <w:tcW w:w="155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pacing w:val="-6"/>
                <w:sz w:val="21"/>
                <w:szCs w:val="24"/>
                <w:highlight w:val="none"/>
              </w:rPr>
              <w:t>自发生变化之日起10个工作</w:t>
            </w:r>
            <w:r>
              <w:rPr>
                <w:rFonts w:hint="eastAsia" w:ascii="仿宋_GB2312" w:hAnsi="仿宋_GB2312" w:eastAsia="仿宋_GB2312" w:cs="仿宋_GB2312"/>
                <w:spacing w:val="-6"/>
                <w:sz w:val="21"/>
                <w:szCs w:val="24"/>
                <w:highlight w:val="none"/>
                <w:lang w:eastAsia="zh-CN"/>
              </w:rPr>
              <w:t>日</w:t>
            </w:r>
            <w:r>
              <w:rPr>
                <w:rFonts w:hint="eastAsia" w:ascii="仿宋_GB2312" w:hAnsi="仿宋_GB2312" w:eastAsia="仿宋_GB2312" w:cs="仿宋_GB2312"/>
                <w:spacing w:val="-6"/>
                <w:sz w:val="21"/>
                <w:szCs w:val="24"/>
                <w:highlight w:val="none"/>
              </w:rPr>
              <w:t>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国家电网有限公司员工服务“十个不准”</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bottom w:val="single" w:color="auto" w:sz="4" w:space="0"/>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pacing w:val="-6"/>
                <w:sz w:val="21"/>
                <w:szCs w:val="21"/>
                <w:highlight w:val="none"/>
              </w:rPr>
              <w:t>95598供电服务热线</w:t>
            </w:r>
          </w:p>
        </w:tc>
        <w:tc>
          <w:tcPr>
            <w:tcW w:w="1559" w:type="dxa"/>
            <w:vMerge w:val="continue"/>
            <w:tcBorders>
              <w:bottom w:val="single" w:color="auto" w:sz="4" w:space="0"/>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op w:val="single" w:color="auto" w:sz="4" w:space="0"/>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投诉</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6"/>
                <w:sz w:val="21"/>
                <w:szCs w:val="24"/>
                <w:highlight w:val="none"/>
              </w:rPr>
              <w:t>渠道</w:t>
            </w:r>
          </w:p>
        </w:tc>
        <w:tc>
          <w:tcPr>
            <w:tcW w:w="2261" w:type="dxa"/>
            <w:gridSpan w:val="2"/>
            <w:tcBorders>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95598</w:t>
            </w:r>
            <w:r>
              <w:rPr>
                <w:rFonts w:hint="eastAsia" w:ascii="仿宋_GB2312" w:hAnsi="仿宋_GB2312" w:eastAsia="仿宋_GB2312" w:cs="仿宋_GB2312"/>
                <w:spacing w:val="-6"/>
                <w:sz w:val="21"/>
                <w:szCs w:val="21"/>
                <w:highlight w:val="none"/>
              </w:rPr>
              <w:t>供电服务热线</w:t>
            </w:r>
          </w:p>
        </w:tc>
        <w:tc>
          <w:tcPr>
            <w:tcW w:w="1559" w:type="dxa"/>
            <w:tcBorders>
              <w:top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op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1"/>
                <w:highlight w:val="none"/>
              </w:rPr>
              <w:t>12398能源监管热线</w:t>
            </w:r>
          </w:p>
        </w:tc>
        <w:tc>
          <w:tcPr>
            <w:tcW w:w="1559" w:type="dxa"/>
            <w:vMerge w:val="restart"/>
            <w:tcBorders>
              <w:top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对外门户网站、供电营业厅、即时通讯软件、短信、各类业务单据</w:t>
            </w: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12398能源监管微信公众号</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0"/>
                <w:sz w:val="21"/>
                <w:szCs w:val="24"/>
                <w:highlight w:val="none"/>
              </w:rPr>
              <w:t>供电服务所执行的法律法规以及企业制定的涉及用户利益的有关管理制度和技术标准</w:t>
            </w:r>
          </w:p>
        </w:tc>
        <w:tc>
          <w:tcPr>
            <w:tcW w:w="2261" w:type="dxa"/>
            <w:gridSpan w:val="2"/>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电力法、</w:t>
            </w:r>
            <w:r>
              <w:rPr>
                <w:rFonts w:hint="eastAsia" w:ascii="仿宋_GB2312" w:hAnsi="仿宋_GB2312" w:eastAsia="仿宋_GB2312" w:cs="仿宋_GB2312"/>
                <w:color w:val="000000"/>
                <w:kern w:val="0"/>
                <w:sz w:val="21"/>
                <w:szCs w:val="21"/>
                <w:highlight w:val="none"/>
                <w:lang w:bidi="ar"/>
              </w:rPr>
              <w:t>电力供应与使用条例、电力设施保护条例、供电监管办法、供电营业规则等法律法规</w:t>
            </w:r>
          </w:p>
        </w:tc>
        <w:tc>
          <w:tcPr>
            <w:tcW w:w="155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对外门户网站</w:t>
            </w:r>
          </w:p>
        </w:tc>
        <w:tc>
          <w:tcPr>
            <w:tcW w:w="1384"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spacing w:val="-6"/>
                <w:sz w:val="21"/>
                <w:szCs w:val="24"/>
                <w:highlight w:val="none"/>
                <w:lang w:eastAsia="zh-CN"/>
              </w:rPr>
              <w:t>综合管理部</w:t>
            </w: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及相关制度标准归口管理部门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op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供电服务规范等电力行业技术标准</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建设经营</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43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工程建设环评水保信息</w:t>
            </w:r>
          </w:p>
        </w:tc>
        <w:tc>
          <w:tcPr>
            <w:tcW w:w="1828" w:type="dxa"/>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lang w:val="en-US" w:eastAsia="zh-CN"/>
              </w:rPr>
              <w:t>电网项目竣工环境保护、水土保持设施验收信息公示</w:t>
            </w:r>
          </w:p>
        </w:tc>
        <w:tc>
          <w:tcPr>
            <w:tcW w:w="1559" w:type="dxa"/>
            <w:tcBorders>
              <w:bottom w:val="single" w:color="auto" w:sz="4" w:space="0"/>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lang w:eastAsia="zh-CN"/>
              </w:rPr>
              <w:t>对外门户网站</w:t>
            </w:r>
          </w:p>
        </w:tc>
        <w:tc>
          <w:tcPr>
            <w:tcW w:w="1384" w:type="dxa"/>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运检部</w:t>
            </w:r>
          </w:p>
        </w:tc>
        <w:tc>
          <w:tcPr>
            <w:tcW w:w="226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eastAsia="zh-CN"/>
              </w:rPr>
              <w:t>通过验收后</w:t>
            </w:r>
            <w:r>
              <w:rPr>
                <w:rFonts w:hint="eastAsia" w:ascii="仿宋_GB2312" w:hAnsi="仿宋_GB2312" w:eastAsia="仿宋_GB2312" w:cs="仿宋_GB2312"/>
                <w:sz w:val="21"/>
                <w:szCs w:val="24"/>
                <w:highlight w:val="none"/>
                <w:lang w:val="en-US" w:eastAsia="zh-CN"/>
              </w:rPr>
              <w:t>5个工作日内公开，</w:t>
            </w:r>
            <w:r>
              <w:rPr>
                <w:rFonts w:hint="eastAsia" w:ascii="仿宋_GB2312" w:hAnsi="仿宋_GB2312" w:eastAsia="仿宋_GB2312" w:cs="仿宋_GB2312"/>
                <w:sz w:val="21"/>
                <w:szCs w:val="24"/>
                <w:highlight w:val="none"/>
                <w:lang w:eastAsia="zh-CN"/>
              </w:rPr>
              <w:t>每月一次。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43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828" w:type="dxa"/>
            <w:tcBorders>
              <w:top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4"/>
                <w:highlight w:val="none"/>
              </w:rPr>
              <w:t>电网项目环境影响报告公示</w:t>
            </w:r>
          </w:p>
        </w:tc>
        <w:tc>
          <w:tcPr>
            <w:tcW w:w="1559" w:type="dxa"/>
            <w:tcBorders>
              <w:top w:val="single" w:color="auto" w:sz="4" w:space="0"/>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运检部</w:t>
            </w:r>
          </w:p>
        </w:tc>
        <w:tc>
          <w:tcPr>
            <w:tcW w:w="226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val="en-US" w:eastAsia="zh-CN"/>
              </w:rPr>
              <w:t>报告形成后5个工作日内公开</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其他信息</w:t>
            </w:r>
          </w:p>
        </w:tc>
        <w:tc>
          <w:tcPr>
            <w:tcW w:w="2261" w:type="dxa"/>
            <w:gridSpan w:val="2"/>
            <w:tcBorders>
              <w:tl2br w:val="nil"/>
              <w:tr2bl w:val="nil"/>
            </w:tcBorders>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sz w:val="21"/>
                <w:szCs w:val="24"/>
                <w:highlight w:val="none"/>
              </w:rPr>
              <w:t>经公司信息公开领导小组决定，应当主动公开的相关信息</w:t>
            </w:r>
          </w:p>
        </w:tc>
        <w:tc>
          <w:tcPr>
            <w:tcW w:w="5204" w:type="dxa"/>
            <w:gridSpan w:val="3"/>
            <w:tcBorders>
              <w:tl2br w:val="nil"/>
              <w:tr2bl w:val="nil"/>
            </w:tcBorders>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lang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bl>
    <w:p>
      <w:pPr>
        <w:pStyle w:val="3"/>
        <w:bidi w:val="0"/>
        <w:rPr>
          <w:rFonts w:hint="default"/>
          <w:lang w:val="en-US" w:eastAsia="zh-CN"/>
        </w:rPr>
      </w:pPr>
    </w:p>
    <w:sectPr>
      <w:pgSz w:w="11906" w:h="16838"/>
      <w:pgMar w:top="1984" w:right="1417" w:bottom="1417" w:left="1417" w:header="851" w:footer="992" w:gutter="0"/>
      <w:cols w:space="0" w:num="1"/>
      <w:rtlGutter w:val="0"/>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0OTIyM2FkYTJjODM0NDczMmYwMGM0MDk0ZjlkYzcifQ=="/>
  </w:docVars>
  <w:rsids>
    <w:rsidRoot w:val="5F486BC7"/>
    <w:rsid w:val="00332FC1"/>
    <w:rsid w:val="00440469"/>
    <w:rsid w:val="00936C53"/>
    <w:rsid w:val="00A05B96"/>
    <w:rsid w:val="00C639BD"/>
    <w:rsid w:val="00F05462"/>
    <w:rsid w:val="010E07BD"/>
    <w:rsid w:val="012934B0"/>
    <w:rsid w:val="014E251C"/>
    <w:rsid w:val="01883FF9"/>
    <w:rsid w:val="019F77DB"/>
    <w:rsid w:val="01D65392"/>
    <w:rsid w:val="021F086A"/>
    <w:rsid w:val="023D0B67"/>
    <w:rsid w:val="02455359"/>
    <w:rsid w:val="028D284B"/>
    <w:rsid w:val="02CD75AB"/>
    <w:rsid w:val="02E312A0"/>
    <w:rsid w:val="03444D11"/>
    <w:rsid w:val="03471C50"/>
    <w:rsid w:val="034E2DF0"/>
    <w:rsid w:val="035B7FE1"/>
    <w:rsid w:val="03D818BF"/>
    <w:rsid w:val="03EE596E"/>
    <w:rsid w:val="03F856B6"/>
    <w:rsid w:val="046A55EE"/>
    <w:rsid w:val="04985B76"/>
    <w:rsid w:val="04AB51AF"/>
    <w:rsid w:val="04D45C42"/>
    <w:rsid w:val="04F15F06"/>
    <w:rsid w:val="052309FA"/>
    <w:rsid w:val="05703B47"/>
    <w:rsid w:val="05877E34"/>
    <w:rsid w:val="05B40575"/>
    <w:rsid w:val="05D36BF5"/>
    <w:rsid w:val="05FD1F15"/>
    <w:rsid w:val="062A5766"/>
    <w:rsid w:val="06652DD0"/>
    <w:rsid w:val="067357E0"/>
    <w:rsid w:val="06967AC6"/>
    <w:rsid w:val="06B20A65"/>
    <w:rsid w:val="06F65F93"/>
    <w:rsid w:val="072F0E77"/>
    <w:rsid w:val="073C0943"/>
    <w:rsid w:val="074E3C4F"/>
    <w:rsid w:val="07512BE8"/>
    <w:rsid w:val="07531636"/>
    <w:rsid w:val="07C664C8"/>
    <w:rsid w:val="08105BAA"/>
    <w:rsid w:val="08297C5A"/>
    <w:rsid w:val="08926D4A"/>
    <w:rsid w:val="08B72AAA"/>
    <w:rsid w:val="08C4607D"/>
    <w:rsid w:val="08C91542"/>
    <w:rsid w:val="08D23929"/>
    <w:rsid w:val="08F2150C"/>
    <w:rsid w:val="090B2165"/>
    <w:rsid w:val="092C175A"/>
    <w:rsid w:val="097512AF"/>
    <w:rsid w:val="09BB2BBA"/>
    <w:rsid w:val="09C12127"/>
    <w:rsid w:val="09E43AAE"/>
    <w:rsid w:val="0AD543A0"/>
    <w:rsid w:val="0B0131F6"/>
    <w:rsid w:val="0B560A01"/>
    <w:rsid w:val="0C037402"/>
    <w:rsid w:val="0C1D5999"/>
    <w:rsid w:val="0C2413AC"/>
    <w:rsid w:val="0C386179"/>
    <w:rsid w:val="0C723B63"/>
    <w:rsid w:val="0C906574"/>
    <w:rsid w:val="0CFE22BD"/>
    <w:rsid w:val="0D27437E"/>
    <w:rsid w:val="0D8718F7"/>
    <w:rsid w:val="0DA90C3A"/>
    <w:rsid w:val="0DB16621"/>
    <w:rsid w:val="0E6926A3"/>
    <w:rsid w:val="0EBC518A"/>
    <w:rsid w:val="0EC54BE8"/>
    <w:rsid w:val="0F321AD5"/>
    <w:rsid w:val="0F3D70A0"/>
    <w:rsid w:val="0F487EF1"/>
    <w:rsid w:val="0F623554"/>
    <w:rsid w:val="0F924B5A"/>
    <w:rsid w:val="0FAC31A8"/>
    <w:rsid w:val="0FB44EE3"/>
    <w:rsid w:val="0FBA68D0"/>
    <w:rsid w:val="0FE454C4"/>
    <w:rsid w:val="0FFA28B2"/>
    <w:rsid w:val="10317744"/>
    <w:rsid w:val="1034182E"/>
    <w:rsid w:val="10524453"/>
    <w:rsid w:val="1090276F"/>
    <w:rsid w:val="10AC34E8"/>
    <w:rsid w:val="10B373DA"/>
    <w:rsid w:val="10DC5F2F"/>
    <w:rsid w:val="111869C4"/>
    <w:rsid w:val="11670190"/>
    <w:rsid w:val="11710C7E"/>
    <w:rsid w:val="117A5EB5"/>
    <w:rsid w:val="119C631B"/>
    <w:rsid w:val="11A7634B"/>
    <w:rsid w:val="11C111F3"/>
    <w:rsid w:val="11C54FEC"/>
    <w:rsid w:val="11FA27FB"/>
    <w:rsid w:val="12241A2B"/>
    <w:rsid w:val="126041FB"/>
    <w:rsid w:val="126D34F1"/>
    <w:rsid w:val="12997B91"/>
    <w:rsid w:val="12D4703A"/>
    <w:rsid w:val="12ED3A48"/>
    <w:rsid w:val="13005EBD"/>
    <w:rsid w:val="1302436B"/>
    <w:rsid w:val="135A4045"/>
    <w:rsid w:val="14425B91"/>
    <w:rsid w:val="14531297"/>
    <w:rsid w:val="147A01B0"/>
    <w:rsid w:val="14B306E5"/>
    <w:rsid w:val="14D44C33"/>
    <w:rsid w:val="15483489"/>
    <w:rsid w:val="15775466"/>
    <w:rsid w:val="15786EDF"/>
    <w:rsid w:val="158E1F2F"/>
    <w:rsid w:val="15923068"/>
    <w:rsid w:val="15982C50"/>
    <w:rsid w:val="15A22663"/>
    <w:rsid w:val="15A369E3"/>
    <w:rsid w:val="15A5202F"/>
    <w:rsid w:val="15C72ABB"/>
    <w:rsid w:val="15D35E26"/>
    <w:rsid w:val="15E70F05"/>
    <w:rsid w:val="164F3739"/>
    <w:rsid w:val="166B7A9D"/>
    <w:rsid w:val="16C870B1"/>
    <w:rsid w:val="16D8206E"/>
    <w:rsid w:val="16E90343"/>
    <w:rsid w:val="16FC0BE7"/>
    <w:rsid w:val="17561626"/>
    <w:rsid w:val="17617697"/>
    <w:rsid w:val="176C6217"/>
    <w:rsid w:val="17704F6D"/>
    <w:rsid w:val="17A911DA"/>
    <w:rsid w:val="17D2658A"/>
    <w:rsid w:val="17D80207"/>
    <w:rsid w:val="17E45FEE"/>
    <w:rsid w:val="17EB66F3"/>
    <w:rsid w:val="17FD03D7"/>
    <w:rsid w:val="180149C0"/>
    <w:rsid w:val="18257AB4"/>
    <w:rsid w:val="18751156"/>
    <w:rsid w:val="187C6626"/>
    <w:rsid w:val="18A27339"/>
    <w:rsid w:val="18A61C39"/>
    <w:rsid w:val="18A80C4E"/>
    <w:rsid w:val="18A87DAB"/>
    <w:rsid w:val="18F46502"/>
    <w:rsid w:val="18FE293A"/>
    <w:rsid w:val="19176A29"/>
    <w:rsid w:val="19271C4A"/>
    <w:rsid w:val="192C3066"/>
    <w:rsid w:val="19430E2D"/>
    <w:rsid w:val="197949E2"/>
    <w:rsid w:val="19872C2F"/>
    <w:rsid w:val="199F4635"/>
    <w:rsid w:val="19A165C3"/>
    <w:rsid w:val="19AC1214"/>
    <w:rsid w:val="19F16E95"/>
    <w:rsid w:val="19FF0253"/>
    <w:rsid w:val="1A117A6B"/>
    <w:rsid w:val="1A3C0B8E"/>
    <w:rsid w:val="1A606C15"/>
    <w:rsid w:val="1A7A1501"/>
    <w:rsid w:val="1A86665D"/>
    <w:rsid w:val="1ACE2F14"/>
    <w:rsid w:val="1AEB5885"/>
    <w:rsid w:val="1AEE7FDB"/>
    <w:rsid w:val="1AF66C61"/>
    <w:rsid w:val="1AF92AC9"/>
    <w:rsid w:val="1B275022"/>
    <w:rsid w:val="1BB820CF"/>
    <w:rsid w:val="1BBD795A"/>
    <w:rsid w:val="1BD23AA1"/>
    <w:rsid w:val="1BE6492E"/>
    <w:rsid w:val="1C03678A"/>
    <w:rsid w:val="1C183BF8"/>
    <w:rsid w:val="1C353CBD"/>
    <w:rsid w:val="1C9540A7"/>
    <w:rsid w:val="1C9E1C3E"/>
    <w:rsid w:val="1CDD7BEB"/>
    <w:rsid w:val="1D180C6F"/>
    <w:rsid w:val="1D295D02"/>
    <w:rsid w:val="1DE53A27"/>
    <w:rsid w:val="1DEE011A"/>
    <w:rsid w:val="1E244673"/>
    <w:rsid w:val="1E2E3D70"/>
    <w:rsid w:val="1E384E1D"/>
    <w:rsid w:val="1EC807E8"/>
    <w:rsid w:val="1EC85955"/>
    <w:rsid w:val="1ECD7B41"/>
    <w:rsid w:val="1EDA29D6"/>
    <w:rsid w:val="1EF213C2"/>
    <w:rsid w:val="1F0643CE"/>
    <w:rsid w:val="1F5E4728"/>
    <w:rsid w:val="1F603D76"/>
    <w:rsid w:val="1F745866"/>
    <w:rsid w:val="1FA35D15"/>
    <w:rsid w:val="1FA574DB"/>
    <w:rsid w:val="1FA61B47"/>
    <w:rsid w:val="1FAB2796"/>
    <w:rsid w:val="201C198F"/>
    <w:rsid w:val="203C6FC0"/>
    <w:rsid w:val="20480333"/>
    <w:rsid w:val="206C597B"/>
    <w:rsid w:val="206E1F68"/>
    <w:rsid w:val="2089747E"/>
    <w:rsid w:val="209F602E"/>
    <w:rsid w:val="20B64F62"/>
    <w:rsid w:val="20D375EE"/>
    <w:rsid w:val="20E02082"/>
    <w:rsid w:val="20E900F1"/>
    <w:rsid w:val="20EB0ADE"/>
    <w:rsid w:val="21151A70"/>
    <w:rsid w:val="21321FA3"/>
    <w:rsid w:val="21531192"/>
    <w:rsid w:val="215B46BC"/>
    <w:rsid w:val="215E3F02"/>
    <w:rsid w:val="21602FB1"/>
    <w:rsid w:val="216B1E03"/>
    <w:rsid w:val="21905102"/>
    <w:rsid w:val="219B3559"/>
    <w:rsid w:val="21AC59CA"/>
    <w:rsid w:val="21D43FE4"/>
    <w:rsid w:val="21ED6CE6"/>
    <w:rsid w:val="22071A16"/>
    <w:rsid w:val="22BE44C8"/>
    <w:rsid w:val="22C64F22"/>
    <w:rsid w:val="22E85D4A"/>
    <w:rsid w:val="22E958FC"/>
    <w:rsid w:val="235F3C2A"/>
    <w:rsid w:val="23693C53"/>
    <w:rsid w:val="2372761C"/>
    <w:rsid w:val="23753AFF"/>
    <w:rsid w:val="238110C3"/>
    <w:rsid w:val="23AC3082"/>
    <w:rsid w:val="23B836A2"/>
    <w:rsid w:val="23DA7FDD"/>
    <w:rsid w:val="23EB3542"/>
    <w:rsid w:val="23F32121"/>
    <w:rsid w:val="240C782C"/>
    <w:rsid w:val="24164624"/>
    <w:rsid w:val="242F39F1"/>
    <w:rsid w:val="245860A8"/>
    <w:rsid w:val="247A4918"/>
    <w:rsid w:val="24AE1C3F"/>
    <w:rsid w:val="24B32F00"/>
    <w:rsid w:val="24BE378C"/>
    <w:rsid w:val="24D349E9"/>
    <w:rsid w:val="24FC7F42"/>
    <w:rsid w:val="250869D9"/>
    <w:rsid w:val="2535674A"/>
    <w:rsid w:val="25620752"/>
    <w:rsid w:val="25621800"/>
    <w:rsid w:val="25885EA2"/>
    <w:rsid w:val="25B23629"/>
    <w:rsid w:val="25CD3F28"/>
    <w:rsid w:val="25F2695F"/>
    <w:rsid w:val="2600483F"/>
    <w:rsid w:val="26044489"/>
    <w:rsid w:val="26B61198"/>
    <w:rsid w:val="26F65B00"/>
    <w:rsid w:val="26FC4545"/>
    <w:rsid w:val="276F771E"/>
    <w:rsid w:val="27BC683E"/>
    <w:rsid w:val="27C001C8"/>
    <w:rsid w:val="27D352EC"/>
    <w:rsid w:val="27D63256"/>
    <w:rsid w:val="27E058C8"/>
    <w:rsid w:val="27E75613"/>
    <w:rsid w:val="27EF1BEF"/>
    <w:rsid w:val="280950D8"/>
    <w:rsid w:val="28203B8A"/>
    <w:rsid w:val="2839560D"/>
    <w:rsid w:val="287E02DA"/>
    <w:rsid w:val="2893307E"/>
    <w:rsid w:val="28AA5C37"/>
    <w:rsid w:val="28BE53FC"/>
    <w:rsid w:val="28C147C2"/>
    <w:rsid w:val="29186404"/>
    <w:rsid w:val="291F1680"/>
    <w:rsid w:val="29436326"/>
    <w:rsid w:val="2948500C"/>
    <w:rsid w:val="295B588A"/>
    <w:rsid w:val="29692227"/>
    <w:rsid w:val="296E0C92"/>
    <w:rsid w:val="29790F62"/>
    <w:rsid w:val="29DD7375"/>
    <w:rsid w:val="29E23A14"/>
    <w:rsid w:val="29F46750"/>
    <w:rsid w:val="2A03641B"/>
    <w:rsid w:val="2A150EE3"/>
    <w:rsid w:val="2A411FA4"/>
    <w:rsid w:val="2A5366D9"/>
    <w:rsid w:val="2A6D59A4"/>
    <w:rsid w:val="2AA214E0"/>
    <w:rsid w:val="2AAB7241"/>
    <w:rsid w:val="2AAD2917"/>
    <w:rsid w:val="2B0231BF"/>
    <w:rsid w:val="2B4A419D"/>
    <w:rsid w:val="2B652A73"/>
    <w:rsid w:val="2B821817"/>
    <w:rsid w:val="2BCE0C6D"/>
    <w:rsid w:val="2C225050"/>
    <w:rsid w:val="2C8B6844"/>
    <w:rsid w:val="2CB31E18"/>
    <w:rsid w:val="2CC00D05"/>
    <w:rsid w:val="2CDA609F"/>
    <w:rsid w:val="2D012A14"/>
    <w:rsid w:val="2DB104FF"/>
    <w:rsid w:val="2DF92C9E"/>
    <w:rsid w:val="2E27542C"/>
    <w:rsid w:val="2E485B7E"/>
    <w:rsid w:val="2E9A0AA3"/>
    <w:rsid w:val="2EE74BAB"/>
    <w:rsid w:val="2F187C91"/>
    <w:rsid w:val="2F74740E"/>
    <w:rsid w:val="2F813F5B"/>
    <w:rsid w:val="2FD84967"/>
    <w:rsid w:val="30135A63"/>
    <w:rsid w:val="305837BB"/>
    <w:rsid w:val="307D3857"/>
    <w:rsid w:val="30B02F13"/>
    <w:rsid w:val="30B3187B"/>
    <w:rsid w:val="30BC6A42"/>
    <w:rsid w:val="30C001EB"/>
    <w:rsid w:val="31665FA2"/>
    <w:rsid w:val="31B11643"/>
    <w:rsid w:val="31ED4B3C"/>
    <w:rsid w:val="31EE06EE"/>
    <w:rsid w:val="32014B7A"/>
    <w:rsid w:val="32262C82"/>
    <w:rsid w:val="322E21AF"/>
    <w:rsid w:val="323E656F"/>
    <w:rsid w:val="32656965"/>
    <w:rsid w:val="32792B26"/>
    <w:rsid w:val="32B76291"/>
    <w:rsid w:val="32D1359A"/>
    <w:rsid w:val="33566AAC"/>
    <w:rsid w:val="33615FDA"/>
    <w:rsid w:val="337649A0"/>
    <w:rsid w:val="338552A3"/>
    <w:rsid w:val="338841F8"/>
    <w:rsid w:val="339F6E7C"/>
    <w:rsid w:val="33A26FEB"/>
    <w:rsid w:val="33AC33CD"/>
    <w:rsid w:val="33C34D38"/>
    <w:rsid w:val="33F67E1B"/>
    <w:rsid w:val="33FC727F"/>
    <w:rsid w:val="33FF178A"/>
    <w:rsid w:val="340D618A"/>
    <w:rsid w:val="341F00A9"/>
    <w:rsid w:val="34557FE4"/>
    <w:rsid w:val="34764C74"/>
    <w:rsid w:val="35164E52"/>
    <w:rsid w:val="353D016E"/>
    <w:rsid w:val="35635712"/>
    <w:rsid w:val="3598064C"/>
    <w:rsid w:val="35A76184"/>
    <w:rsid w:val="35B717E8"/>
    <w:rsid w:val="35BE6054"/>
    <w:rsid w:val="35DB5BD4"/>
    <w:rsid w:val="35DE48A2"/>
    <w:rsid w:val="360F72C3"/>
    <w:rsid w:val="360F7D6A"/>
    <w:rsid w:val="36532F85"/>
    <w:rsid w:val="366004D6"/>
    <w:rsid w:val="3691645F"/>
    <w:rsid w:val="369E0D76"/>
    <w:rsid w:val="36A35131"/>
    <w:rsid w:val="36C460AC"/>
    <w:rsid w:val="36CB0875"/>
    <w:rsid w:val="36D55A0E"/>
    <w:rsid w:val="36FB0D11"/>
    <w:rsid w:val="371F40B0"/>
    <w:rsid w:val="372B025B"/>
    <w:rsid w:val="373D5220"/>
    <w:rsid w:val="375B002D"/>
    <w:rsid w:val="379A6636"/>
    <w:rsid w:val="37B25C16"/>
    <w:rsid w:val="37B84486"/>
    <w:rsid w:val="38236B36"/>
    <w:rsid w:val="38307244"/>
    <w:rsid w:val="383334A0"/>
    <w:rsid w:val="38405305"/>
    <w:rsid w:val="38A25C53"/>
    <w:rsid w:val="38BA0ECF"/>
    <w:rsid w:val="38BD0E37"/>
    <w:rsid w:val="38D23C5C"/>
    <w:rsid w:val="392E6633"/>
    <w:rsid w:val="393F4AE6"/>
    <w:rsid w:val="39654870"/>
    <w:rsid w:val="39661AED"/>
    <w:rsid w:val="3989550B"/>
    <w:rsid w:val="3A080FE9"/>
    <w:rsid w:val="3A3A031F"/>
    <w:rsid w:val="3A4C6A3C"/>
    <w:rsid w:val="3A706A9B"/>
    <w:rsid w:val="3AC82142"/>
    <w:rsid w:val="3AC90583"/>
    <w:rsid w:val="3AF2647A"/>
    <w:rsid w:val="3B273FDE"/>
    <w:rsid w:val="3B672A63"/>
    <w:rsid w:val="3B76310E"/>
    <w:rsid w:val="3BC5406B"/>
    <w:rsid w:val="3BD76C43"/>
    <w:rsid w:val="3BE77D33"/>
    <w:rsid w:val="3BFF56E4"/>
    <w:rsid w:val="3C0E0F74"/>
    <w:rsid w:val="3C281C13"/>
    <w:rsid w:val="3C4F0955"/>
    <w:rsid w:val="3CF90D52"/>
    <w:rsid w:val="3D194316"/>
    <w:rsid w:val="3D343EA9"/>
    <w:rsid w:val="3D393845"/>
    <w:rsid w:val="3D3A00C6"/>
    <w:rsid w:val="3D413074"/>
    <w:rsid w:val="3D424930"/>
    <w:rsid w:val="3D7D4325"/>
    <w:rsid w:val="3D837927"/>
    <w:rsid w:val="3DC67951"/>
    <w:rsid w:val="3DD279BB"/>
    <w:rsid w:val="3DDF7931"/>
    <w:rsid w:val="3E010DCB"/>
    <w:rsid w:val="3E446624"/>
    <w:rsid w:val="3E6D28AA"/>
    <w:rsid w:val="3E704B55"/>
    <w:rsid w:val="3E803205"/>
    <w:rsid w:val="3EC40FB6"/>
    <w:rsid w:val="3EE43D8D"/>
    <w:rsid w:val="3F086961"/>
    <w:rsid w:val="3F444314"/>
    <w:rsid w:val="3F6618B0"/>
    <w:rsid w:val="3FC11223"/>
    <w:rsid w:val="3FFC3B51"/>
    <w:rsid w:val="3FFD1AC9"/>
    <w:rsid w:val="402939E1"/>
    <w:rsid w:val="40555E73"/>
    <w:rsid w:val="40582EE3"/>
    <w:rsid w:val="407B6E27"/>
    <w:rsid w:val="40861E36"/>
    <w:rsid w:val="40976EB7"/>
    <w:rsid w:val="40C038E8"/>
    <w:rsid w:val="40EE10FF"/>
    <w:rsid w:val="412B34CA"/>
    <w:rsid w:val="41515134"/>
    <w:rsid w:val="41C930CE"/>
    <w:rsid w:val="41D81691"/>
    <w:rsid w:val="41DA51D2"/>
    <w:rsid w:val="41E640A9"/>
    <w:rsid w:val="42156A36"/>
    <w:rsid w:val="42992BBA"/>
    <w:rsid w:val="429C4EC6"/>
    <w:rsid w:val="42BF1D80"/>
    <w:rsid w:val="42CD658B"/>
    <w:rsid w:val="42DD523A"/>
    <w:rsid w:val="43213EAC"/>
    <w:rsid w:val="435F7A7F"/>
    <w:rsid w:val="43745E3F"/>
    <w:rsid w:val="439723F1"/>
    <w:rsid w:val="43BF662E"/>
    <w:rsid w:val="43C22163"/>
    <w:rsid w:val="43D10456"/>
    <w:rsid w:val="43D751A1"/>
    <w:rsid w:val="43ED60DE"/>
    <w:rsid w:val="44435B2B"/>
    <w:rsid w:val="44670370"/>
    <w:rsid w:val="44BD3A50"/>
    <w:rsid w:val="44CF47AD"/>
    <w:rsid w:val="44D31E90"/>
    <w:rsid w:val="450521BA"/>
    <w:rsid w:val="45103E6F"/>
    <w:rsid w:val="452B574B"/>
    <w:rsid w:val="45377650"/>
    <w:rsid w:val="45576996"/>
    <w:rsid w:val="45773E82"/>
    <w:rsid w:val="45E2393D"/>
    <w:rsid w:val="462A02C4"/>
    <w:rsid w:val="462E5BF9"/>
    <w:rsid w:val="463357C1"/>
    <w:rsid w:val="46925E87"/>
    <w:rsid w:val="46D70596"/>
    <w:rsid w:val="46F25DFA"/>
    <w:rsid w:val="46FB0AB0"/>
    <w:rsid w:val="472B2A55"/>
    <w:rsid w:val="475D5DA1"/>
    <w:rsid w:val="4778589D"/>
    <w:rsid w:val="477A16F3"/>
    <w:rsid w:val="478B273A"/>
    <w:rsid w:val="47C26801"/>
    <w:rsid w:val="47D54AE6"/>
    <w:rsid w:val="48314801"/>
    <w:rsid w:val="483C4280"/>
    <w:rsid w:val="48E051DB"/>
    <w:rsid w:val="492640D5"/>
    <w:rsid w:val="49275FDA"/>
    <w:rsid w:val="493A6972"/>
    <w:rsid w:val="49435C68"/>
    <w:rsid w:val="49AF0C04"/>
    <w:rsid w:val="49BB45AF"/>
    <w:rsid w:val="49C74C37"/>
    <w:rsid w:val="49CC69F2"/>
    <w:rsid w:val="49EC3E58"/>
    <w:rsid w:val="4A1D25F0"/>
    <w:rsid w:val="4A3541BF"/>
    <w:rsid w:val="4A545092"/>
    <w:rsid w:val="4A821517"/>
    <w:rsid w:val="4A9F186F"/>
    <w:rsid w:val="4AC74D33"/>
    <w:rsid w:val="4B867E49"/>
    <w:rsid w:val="4BA07779"/>
    <w:rsid w:val="4C3854A2"/>
    <w:rsid w:val="4C6D79FD"/>
    <w:rsid w:val="4C9F70C3"/>
    <w:rsid w:val="4CAA6773"/>
    <w:rsid w:val="4CED4182"/>
    <w:rsid w:val="4CFA226C"/>
    <w:rsid w:val="4CFB01CA"/>
    <w:rsid w:val="4D570D0F"/>
    <w:rsid w:val="4D6923A0"/>
    <w:rsid w:val="4D8D2FE6"/>
    <w:rsid w:val="4DB714DB"/>
    <w:rsid w:val="4EB131B5"/>
    <w:rsid w:val="4EDD5DA5"/>
    <w:rsid w:val="4F892489"/>
    <w:rsid w:val="4FD60072"/>
    <w:rsid w:val="4FEF64A1"/>
    <w:rsid w:val="50174574"/>
    <w:rsid w:val="5079523A"/>
    <w:rsid w:val="50C344F7"/>
    <w:rsid w:val="50FD331D"/>
    <w:rsid w:val="51675599"/>
    <w:rsid w:val="51727E1B"/>
    <w:rsid w:val="51BE504E"/>
    <w:rsid w:val="527E61BF"/>
    <w:rsid w:val="528619B2"/>
    <w:rsid w:val="52F51428"/>
    <w:rsid w:val="53332DD4"/>
    <w:rsid w:val="53502551"/>
    <w:rsid w:val="53770E25"/>
    <w:rsid w:val="5384177D"/>
    <w:rsid w:val="53CB3A18"/>
    <w:rsid w:val="53E96A21"/>
    <w:rsid w:val="53F827AA"/>
    <w:rsid w:val="53F851BF"/>
    <w:rsid w:val="53F87457"/>
    <w:rsid w:val="542F0B9A"/>
    <w:rsid w:val="549F77D0"/>
    <w:rsid w:val="54BB5073"/>
    <w:rsid w:val="54C760D2"/>
    <w:rsid w:val="55323F58"/>
    <w:rsid w:val="553C553D"/>
    <w:rsid w:val="55475848"/>
    <w:rsid w:val="55550A1C"/>
    <w:rsid w:val="55594899"/>
    <w:rsid w:val="556F652D"/>
    <w:rsid w:val="5574408F"/>
    <w:rsid w:val="55816F1B"/>
    <w:rsid w:val="55964327"/>
    <w:rsid w:val="55B96280"/>
    <w:rsid w:val="55B96C4C"/>
    <w:rsid w:val="55D2636F"/>
    <w:rsid w:val="55D529DE"/>
    <w:rsid w:val="55D65DA8"/>
    <w:rsid w:val="564C7467"/>
    <w:rsid w:val="564E73D7"/>
    <w:rsid w:val="56903352"/>
    <w:rsid w:val="569A5DD2"/>
    <w:rsid w:val="56BE42E9"/>
    <w:rsid w:val="56C4109B"/>
    <w:rsid w:val="56ED34B8"/>
    <w:rsid w:val="57350324"/>
    <w:rsid w:val="578B6052"/>
    <w:rsid w:val="57A935EF"/>
    <w:rsid w:val="57D84197"/>
    <w:rsid w:val="57E95BA9"/>
    <w:rsid w:val="58035B59"/>
    <w:rsid w:val="580E5975"/>
    <w:rsid w:val="58637CF6"/>
    <w:rsid w:val="58865EA0"/>
    <w:rsid w:val="58D161B8"/>
    <w:rsid w:val="58E0744D"/>
    <w:rsid w:val="58E84F1E"/>
    <w:rsid w:val="58EE2DE5"/>
    <w:rsid w:val="58EE520A"/>
    <w:rsid w:val="58F453EF"/>
    <w:rsid w:val="58F62FD5"/>
    <w:rsid w:val="590139F8"/>
    <w:rsid w:val="5921712B"/>
    <w:rsid w:val="592249D7"/>
    <w:rsid w:val="59282AB7"/>
    <w:rsid w:val="592E6113"/>
    <w:rsid w:val="59552EE8"/>
    <w:rsid w:val="595747D5"/>
    <w:rsid w:val="59D14992"/>
    <w:rsid w:val="59D65F65"/>
    <w:rsid w:val="59DA29BF"/>
    <w:rsid w:val="59E2173C"/>
    <w:rsid w:val="59F6759E"/>
    <w:rsid w:val="5A7305F1"/>
    <w:rsid w:val="5A7A2217"/>
    <w:rsid w:val="5A9D013E"/>
    <w:rsid w:val="5AB34CE2"/>
    <w:rsid w:val="5ABE2235"/>
    <w:rsid w:val="5AD1022A"/>
    <w:rsid w:val="5AD5329B"/>
    <w:rsid w:val="5AD73749"/>
    <w:rsid w:val="5AEB2420"/>
    <w:rsid w:val="5AF065F5"/>
    <w:rsid w:val="5B264C95"/>
    <w:rsid w:val="5B63270C"/>
    <w:rsid w:val="5B725708"/>
    <w:rsid w:val="5B771B48"/>
    <w:rsid w:val="5B846C19"/>
    <w:rsid w:val="5BC23E7E"/>
    <w:rsid w:val="5BCE7735"/>
    <w:rsid w:val="5BD70E7E"/>
    <w:rsid w:val="5BED07F6"/>
    <w:rsid w:val="5C01156E"/>
    <w:rsid w:val="5C025F20"/>
    <w:rsid w:val="5C291BCB"/>
    <w:rsid w:val="5C2F3586"/>
    <w:rsid w:val="5C33505D"/>
    <w:rsid w:val="5C3C1EF1"/>
    <w:rsid w:val="5C6E34A6"/>
    <w:rsid w:val="5CD52EC0"/>
    <w:rsid w:val="5CFB74D7"/>
    <w:rsid w:val="5D21494A"/>
    <w:rsid w:val="5D2E2889"/>
    <w:rsid w:val="5D7C707F"/>
    <w:rsid w:val="5D842311"/>
    <w:rsid w:val="5D8E3744"/>
    <w:rsid w:val="5D9434DA"/>
    <w:rsid w:val="5D9642B5"/>
    <w:rsid w:val="5DA95B99"/>
    <w:rsid w:val="5E130D60"/>
    <w:rsid w:val="5E466883"/>
    <w:rsid w:val="5E583E36"/>
    <w:rsid w:val="5E5B397A"/>
    <w:rsid w:val="5E7D09B3"/>
    <w:rsid w:val="5E8050F4"/>
    <w:rsid w:val="5EDA28FB"/>
    <w:rsid w:val="5EDD0EF8"/>
    <w:rsid w:val="5EEB7776"/>
    <w:rsid w:val="5F036BD7"/>
    <w:rsid w:val="5F2656F2"/>
    <w:rsid w:val="5F3B4B2B"/>
    <w:rsid w:val="5F486BC7"/>
    <w:rsid w:val="5F7148F9"/>
    <w:rsid w:val="5FC77B29"/>
    <w:rsid w:val="5FFD5BA3"/>
    <w:rsid w:val="601A19AF"/>
    <w:rsid w:val="602728A4"/>
    <w:rsid w:val="60275014"/>
    <w:rsid w:val="605668AB"/>
    <w:rsid w:val="608906EC"/>
    <w:rsid w:val="60B74988"/>
    <w:rsid w:val="60E64EE5"/>
    <w:rsid w:val="61116633"/>
    <w:rsid w:val="61280C75"/>
    <w:rsid w:val="613960A2"/>
    <w:rsid w:val="615B5EC6"/>
    <w:rsid w:val="6189743B"/>
    <w:rsid w:val="61EE3FC8"/>
    <w:rsid w:val="6216310B"/>
    <w:rsid w:val="62432BE2"/>
    <w:rsid w:val="62791E54"/>
    <w:rsid w:val="62867BF7"/>
    <w:rsid w:val="62B11CF2"/>
    <w:rsid w:val="62D72BEF"/>
    <w:rsid w:val="62DB79B1"/>
    <w:rsid w:val="62E62AED"/>
    <w:rsid w:val="633372A6"/>
    <w:rsid w:val="63411C40"/>
    <w:rsid w:val="636C3876"/>
    <w:rsid w:val="63C54D93"/>
    <w:rsid w:val="63F833C3"/>
    <w:rsid w:val="64135EA4"/>
    <w:rsid w:val="644407B1"/>
    <w:rsid w:val="645760BC"/>
    <w:rsid w:val="649434C3"/>
    <w:rsid w:val="64AF6367"/>
    <w:rsid w:val="64C653F4"/>
    <w:rsid w:val="64C85039"/>
    <w:rsid w:val="64DC4B90"/>
    <w:rsid w:val="64E44A39"/>
    <w:rsid w:val="655F70F8"/>
    <w:rsid w:val="65A15E26"/>
    <w:rsid w:val="65D615F0"/>
    <w:rsid w:val="65DB1024"/>
    <w:rsid w:val="6698669A"/>
    <w:rsid w:val="66B33C50"/>
    <w:rsid w:val="66C61DFD"/>
    <w:rsid w:val="672D0861"/>
    <w:rsid w:val="67832246"/>
    <w:rsid w:val="67AB1BB1"/>
    <w:rsid w:val="67F02ACE"/>
    <w:rsid w:val="68242469"/>
    <w:rsid w:val="68301EE6"/>
    <w:rsid w:val="686C473C"/>
    <w:rsid w:val="687C6141"/>
    <w:rsid w:val="68C1087B"/>
    <w:rsid w:val="68C974BA"/>
    <w:rsid w:val="68EE04A7"/>
    <w:rsid w:val="69180FCF"/>
    <w:rsid w:val="691A0CDC"/>
    <w:rsid w:val="69212B7D"/>
    <w:rsid w:val="695A19E3"/>
    <w:rsid w:val="69651E11"/>
    <w:rsid w:val="69731458"/>
    <w:rsid w:val="698B519D"/>
    <w:rsid w:val="6A2A2BE9"/>
    <w:rsid w:val="6A440C9E"/>
    <w:rsid w:val="6A7511DC"/>
    <w:rsid w:val="6AE34C9A"/>
    <w:rsid w:val="6AED2C97"/>
    <w:rsid w:val="6AFE1F5B"/>
    <w:rsid w:val="6B0F322C"/>
    <w:rsid w:val="6B67752D"/>
    <w:rsid w:val="6B9B1E19"/>
    <w:rsid w:val="6BAE0BCF"/>
    <w:rsid w:val="6BEF56B3"/>
    <w:rsid w:val="6C0967E2"/>
    <w:rsid w:val="6C0D366B"/>
    <w:rsid w:val="6C722886"/>
    <w:rsid w:val="6C7236CC"/>
    <w:rsid w:val="6C7338AE"/>
    <w:rsid w:val="6C8018FA"/>
    <w:rsid w:val="6CE7242B"/>
    <w:rsid w:val="6D0E3A07"/>
    <w:rsid w:val="6D2B7F58"/>
    <w:rsid w:val="6D2E0322"/>
    <w:rsid w:val="6D830BB5"/>
    <w:rsid w:val="6D994E24"/>
    <w:rsid w:val="6DA85295"/>
    <w:rsid w:val="6DB732D1"/>
    <w:rsid w:val="6DCA73FB"/>
    <w:rsid w:val="6DD46B91"/>
    <w:rsid w:val="6DEF1081"/>
    <w:rsid w:val="6E51055F"/>
    <w:rsid w:val="6E5F7E78"/>
    <w:rsid w:val="6E912CED"/>
    <w:rsid w:val="6EBE1EBF"/>
    <w:rsid w:val="6F434E46"/>
    <w:rsid w:val="6F4B59AB"/>
    <w:rsid w:val="6F6276E9"/>
    <w:rsid w:val="6F645CB1"/>
    <w:rsid w:val="6FEB4510"/>
    <w:rsid w:val="702155DC"/>
    <w:rsid w:val="70277B88"/>
    <w:rsid w:val="703D0F2C"/>
    <w:rsid w:val="70A25143"/>
    <w:rsid w:val="70E0556C"/>
    <w:rsid w:val="71155C06"/>
    <w:rsid w:val="71212968"/>
    <w:rsid w:val="71432809"/>
    <w:rsid w:val="71A81665"/>
    <w:rsid w:val="71AD71C2"/>
    <w:rsid w:val="71B07DD8"/>
    <w:rsid w:val="71D0048C"/>
    <w:rsid w:val="71E61586"/>
    <w:rsid w:val="72252159"/>
    <w:rsid w:val="72331DA4"/>
    <w:rsid w:val="723E14BB"/>
    <w:rsid w:val="727C0022"/>
    <w:rsid w:val="728A0FB4"/>
    <w:rsid w:val="72A90675"/>
    <w:rsid w:val="733C2570"/>
    <w:rsid w:val="735030E5"/>
    <w:rsid w:val="73524009"/>
    <w:rsid w:val="73544906"/>
    <w:rsid w:val="73744AC6"/>
    <w:rsid w:val="738D130F"/>
    <w:rsid w:val="738E63AC"/>
    <w:rsid w:val="739859AF"/>
    <w:rsid w:val="74516168"/>
    <w:rsid w:val="746D39D8"/>
    <w:rsid w:val="74FA1B94"/>
    <w:rsid w:val="75440E57"/>
    <w:rsid w:val="756D7970"/>
    <w:rsid w:val="757274F8"/>
    <w:rsid w:val="757B5034"/>
    <w:rsid w:val="757C41AA"/>
    <w:rsid w:val="759F696B"/>
    <w:rsid w:val="75E426BA"/>
    <w:rsid w:val="760C71F8"/>
    <w:rsid w:val="762278A6"/>
    <w:rsid w:val="7648430A"/>
    <w:rsid w:val="7656555B"/>
    <w:rsid w:val="766E1C53"/>
    <w:rsid w:val="76705CC4"/>
    <w:rsid w:val="7697241D"/>
    <w:rsid w:val="769F222D"/>
    <w:rsid w:val="76C56E13"/>
    <w:rsid w:val="772F6162"/>
    <w:rsid w:val="776C2FDE"/>
    <w:rsid w:val="7775630B"/>
    <w:rsid w:val="77783503"/>
    <w:rsid w:val="77E4486B"/>
    <w:rsid w:val="78093045"/>
    <w:rsid w:val="783B3F5C"/>
    <w:rsid w:val="78401003"/>
    <w:rsid w:val="784A5686"/>
    <w:rsid w:val="78683E71"/>
    <w:rsid w:val="788C5F93"/>
    <w:rsid w:val="7896680E"/>
    <w:rsid w:val="78A86C14"/>
    <w:rsid w:val="79257EAA"/>
    <w:rsid w:val="794C562B"/>
    <w:rsid w:val="794E2C9E"/>
    <w:rsid w:val="79575764"/>
    <w:rsid w:val="797876CF"/>
    <w:rsid w:val="7982536B"/>
    <w:rsid w:val="798D636A"/>
    <w:rsid w:val="79CB40E3"/>
    <w:rsid w:val="79D501E3"/>
    <w:rsid w:val="79E442C2"/>
    <w:rsid w:val="79E80D5D"/>
    <w:rsid w:val="7A1B566E"/>
    <w:rsid w:val="7A257543"/>
    <w:rsid w:val="7A362338"/>
    <w:rsid w:val="7A394ECB"/>
    <w:rsid w:val="7A453646"/>
    <w:rsid w:val="7A61759F"/>
    <w:rsid w:val="7AB1265F"/>
    <w:rsid w:val="7ADE70E9"/>
    <w:rsid w:val="7AE11D58"/>
    <w:rsid w:val="7B0B59F2"/>
    <w:rsid w:val="7B1D40AA"/>
    <w:rsid w:val="7B8352EB"/>
    <w:rsid w:val="7BA95F95"/>
    <w:rsid w:val="7C037D7D"/>
    <w:rsid w:val="7C336448"/>
    <w:rsid w:val="7C3C5CBC"/>
    <w:rsid w:val="7C785224"/>
    <w:rsid w:val="7CDA56EE"/>
    <w:rsid w:val="7CF92494"/>
    <w:rsid w:val="7D12466B"/>
    <w:rsid w:val="7D756282"/>
    <w:rsid w:val="7D8565A4"/>
    <w:rsid w:val="7D863241"/>
    <w:rsid w:val="7DA125C7"/>
    <w:rsid w:val="7DC93207"/>
    <w:rsid w:val="7DFA16EE"/>
    <w:rsid w:val="7E2749FC"/>
    <w:rsid w:val="7E7C4B7F"/>
    <w:rsid w:val="7EAB6C9E"/>
    <w:rsid w:val="7EAD29DE"/>
    <w:rsid w:val="7F6C0DD5"/>
    <w:rsid w:val="7F7F7C93"/>
    <w:rsid w:val="7F8656C8"/>
    <w:rsid w:val="7F905110"/>
    <w:rsid w:val="7FA005A3"/>
    <w:rsid w:val="7FD84F8D"/>
    <w:rsid w:val="7FD93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both"/>
    </w:pPr>
    <w:rPr>
      <w:rFonts w:ascii="方正仿宋_GBK" w:hAnsi="方正仿宋_GBK" w:eastAsia="方正仿宋_GBK" w:cs="Times New Roman"/>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ascii="方正小标宋_GBK" w:hAnsi="方正小标宋_GBK" w:eastAsia="方正小标宋_GBK" w:cs="Times New Roman"/>
      <w:kern w:val="44"/>
      <w:sz w:val="44"/>
    </w:rPr>
  </w:style>
  <w:style w:type="paragraph" w:styleId="4">
    <w:name w:val="heading 2"/>
    <w:basedOn w:val="1"/>
    <w:next w:val="1"/>
    <w:unhideWhenUsed/>
    <w:qFormat/>
    <w:uiPriority w:val="0"/>
    <w:pPr>
      <w:keepNext/>
      <w:keepLines/>
      <w:spacing w:beforeLines="0" w:beforeAutospacing="0" w:afterLines="0" w:afterAutospacing="0" w:line="560" w:lineRule="exact"/>
      <w:outlineLvl w:val="1"/>
    </w:pPr>
    <w:rPr>
      <w:rFonts w:ascii="方正黑体_GBK" w:hAnsi="方正黑体_GBK" w:eastAsia="方正黑体_GBK"/>
    </w:rPr>
  </w:style>
  <w:style w:type="paragraph" w:styleId="5">
    <w:name w:val="heading 3"/>
    <w:basedOn w:val="1"/>
    <w:next w:val="1"/>
    <w:link w:val="10"/>
    <w:unhideWhenUsed/>
    <w:qFormat/>
    <w:uiPriority w:val="0"/>
    <w:pPr>
      <w:keepNext/>
      <w:keepLines/>
      <w:ind w:firstLine="640"/>
      <w:outlineLvl w:val="2"/>
    </w:pPr>
    <w:rPr>
      <w:rFonts w:ascii="方正楷体_GBK" w:hAnsi="方正楷体_GBK" w:eastAsia="方正楷体_GBK"/>
      <w:b/>
    </w:rPr>
  </w:style>
  <w:style w:type="paragraph" w:styleId="6">
    <w:name w:val="heading 4"/>
    <w:basedOn w:val="1"/>
    <w:next w:val="1"/>
    <w:unhideWhenUsed/>
    <w:qFormat/>
    <w:uiPriority w:val="0"/>
    <w:pPr>
      <w:keepNext/>
      <w:keepLines/>
      <w:spacing w:beforeLines="0" w:beforeAutospacing="0" w:afterLines="0" w:afterAutospacing="0" w:line="560" w:lineRule="exact"/>
      <w:outlineLvl w:val="3"/>
    </w:pPr>
    <w:rPr>
      <w:rFonts w:ascii="Arial" w:hAnsi="Arial" w:eastAsia="方正仿宋_GBK" w:cs="Times New Roman"/>
      <w:b/>
      <w:sz w:val="32"/>
    </w:rPr>
  </w:style>
  <w:style w:type="character" w:default="1" w:styleId="7">
    <w:name w:val="Default Paragraph Font"/>
    <w:unhideWhenUsed/>
    <w:qFormat/>
    <w:uiPriority w:val="1"/>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0">
    <w:name w:val="标题 3 Char"/>
    <w:basedOn w:val="7"/>
    <w:link w:val="5"/>
    <w:semiHidden/>
    <w:qFormat/>
    <w:uiPriority w:val="0"/>
    <w:rPr>
      <w:rFonts w:ascii="方正楷体_GBK" w:hAnsi="方正楷体_GBK" w:eastAsia="方正楷体_GBK"/>
      <w:b/>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1904</Words>
  <Characters>1985</Characters>
  <Lines>0</Lines>
  <Paragraphs>0</Paragraphs>
  <TotalTime>0</TotalTime>
  <ScaleCrop>false</ScaleCrop>
  <LinksUpToDate>false</LinksUpToDate>
  <CharactersWithSpaces>1985</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2023-05-08T02:16:00Z</dcterms:created>
  <dc:creator>范荣</dc:creator>
  <cp:lastModifiedBy>Administrator</cp:lastModifiedBy>
  <cp:lastPrinted>2025-06-02T15:14:00Z</cp:lastPrinted>
  <dcterms:modified xsi:type="dcterms:W3CDTF">2025-07-08T12:16:43Z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y fmtid="{D5CDD505-2E9C-101B-9397-08002B2CF9AE}" pid="3" name="ICV">
    <vt:lpwstr>DD19CB8B52C044B5AEED1E1C97DDAC9A</vt:lpwstr>
  </property>
</Properties>
</file>