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466" w:beforeLines="80" w:after="292" w:afterLines="50" w:line="500" w:lineRule="exact"/>
        <w:jc w:val="center"/>
        <w:textAlignment w:val="auto"/>
        <w:rPr>
          <w:rFonts w:hint="eastAsia" w:ascii="方正小标宋简体" w:hAnsi="方正小标宋简体" w:eastAsia="方正小标宋简体" w:cs="方正小标宋简体"/>
          <w:szCs w:val="32"/>
          <w:highlight w:val="none"/>
        </w:rPr>
      </w:pPr>
      <w:bookmarkStart w:id="0" w:name="_GoBack"/>
      <w:r>
        <w:rPr>
          <w:rFonts w:hint="eastAsia" w:ascii="方正小标宋简体" w:hAnsi="方正小标宋简体" w:eastAsia="方正小标宋简体" w:cs="方正小标宋简体"/>
          <w:bCs/>
          <w:sz w:val="44"/>
          <w:szCs w:val="24"/>
          <w:highlight w:val="none"/>
        </w:rPr>
        <w:t>国网</w:t>
      </w:r>
      <w:r>
        <w:rPr>
          <w:rFonts w:hint="eastAsia" w:ascii="方正小标宋简体" w:hAnsi="方正小标宋简体" w:eastAsia="方正小标宋简体" w:cs="方正小标宋简体"/>
          <w:bCs/>
          <w:sz w:val="44"/>
          <w:szCs w:val="24"/>
          <w:highlight w:val="none"/>
          <w:lang w:val="en-US" w:eastAsia="zh-CN"/>
        </w:rPr>
        <w:t>长治供电</w:t>
      </w:r>
      <w:r>
        <w:rPr>
          <w:rFonts w:hint="eastAsia" w:ascii="方正小标宋简体" w:hAnsi="方正小标宋简体" w:eastAsia="方正小标宋简体" w:cs="方正小标宋简体"/>
          <w:bCs/>
          <w:sz w:val="44"/>
          <w:szCs w:val="24"/>
          <w:highlight w:val="none"/>
        </w:rPr>
        <w:t>公司信息公开工作目录</w:t>
      </w:r>
      <w:bookmarkEnd w:id="0"/>
    </w:p>
    <w:tbl>
      <w:tblPr>
        <w:tblStyle w:val="2"/>
        <w:tblW w:w="0" w:type="auto"/>
        <w:jc w:val="center"/>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Layout w:type="fixed"/>
        <w:tblCellMar>
          <w:top w:w="0" w:type="dxa"/>
          <w:left w:w="108" w:type="dxa"/>
          <w:bottom w:w="0" w:type="dxa"/>
          <w:right w:w="108" w:type="dxa"/>
        </w:tblCellMar>
      </w:tblPr>
      <w:tblGrid>
        <w:gridCol w:w="519"/>
        <w:gridCol w:w="861"/>
        <w:gridCol w:w="1081"/>
        <w:gridCol w:w="1476"/>
        <w:gridCol w:w="1810"/>
        <w:gridCol w:w="1231"/>
        <w:gridCol w:w="2082"/>
      </w:tblGrid>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380" w:type="dxa"/>
            <w:gridSpan w:val="2"/>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jc w:val="center"/>
              <w:textAlignment w:val="auto"/>
              <w:rPr>
                <w:rFonts w:hint="eastAsia" w:ascii="宋体" w:hAnsi="宋体" w:eastAsia="宋体" w:cs="宋体"/>
                <w:b/>
                <w:sz w:val="21"/>
                <w:szCs w:val="21"/>
                <w:highlight w:val="none"/>
              </w:rPr>
            </w:pPr>
            <w:r>
              <w:rPr>
                <w:rFonts w:hint="eastAsia" w:ascii="宋体" w:hAnsi="宋体" w:eastAsia="宋体" w:cs="宋体"/>
                <w:b/>
                <w:sz w:val="21"/>
                <w:szCs w:val="21"/>
                <w:highlight w:val="none"/>
              </w:rPr>
              <w:t>公开事项</w:t>
            </w:r>
          </w:p>
          <w:p>
            <w:pPr>
              <w:keepNext w:val="0"/>
              <w:keepLines w:val="0"/>
              <w:pageBreakBefore w:val="0"/>
              <w:widowControl/>
              <w:kinsoku/>
              <w:wordWrap w:val="0"/>
              <w:overflowPunct/>
              <w:topLinePunct/>
              <w:autoSpaceDE/>
              <w:autoSpaceDN/>
              <w:bidi w:val="0"/>
              <w:adjustRightInd w:val="0"/>
              <w:snapToGrid w:val="0"/>
              <w:spacing w:line="280" w:lineRule="exact"/>
              <w:jc w:val="center"/>
              <w:textAlignment w:val="auto"/>
              <w:rPr>
                <w:rFonts w:hint="eastAsia" w:ascii="宋体" w:hAnsi="宋体" w:eastAsia="宋体" w:cs="宋体"/>
                <w:b/>
                <w:sz w:val="21"/>
                <w:szCs w:val="21"/>
                <w:highlight w:val="none"/>
              </w:rPr>
            </w:pPr>
            <w:r>
              <w:rPr>
                <w:rFonts w:hint="eastAsia" w:ascii="宋体" w:hAnsi="宋体" w:eastAsia="宋体" w:cs="宋体"/>
                <w:b/>
                <w:sz w:val="21"/>
                <w:szCs w:val="21"/>
                <w:highlight w:val="none"/>
              </w:rPr>
              <w:t>类别</w:t>
            </w:r>
          </w:p>
        </w:tc>
        <w:tc>
          <w:tcPr>
            <w:tcW w:w="2557" w:type="dxa"/>
            <w:gridSpan w:val="2"/>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jc w:val="center"/>
              <w:textAlignment w:val="auto"/>
              <w:rPr>
                <w:rFonts w:hint="eastAsia" w:ascii="宋体" w:hAnsi="宋体" w:eastAsia="宋体" w:cs="宋体"/>
                <w:b/>
                <w:sz w:val="21"/>
                <w:szCs w:val="21"/>
                <w:highlight w:val="none"/>
              </w:rPr>
            </w:pPr>
            <w:r>
              <w:rPr>
                <w:rFonts w:hint="eastAsia" w:ascii="宋体" w:hAnsi="宋体" w:eastAsia="宋体" w:cs="宋体"/>
                <w:b/>
                <w:sz w:val="21"/>
                <w:szCs w:val="21"/>
                <w:highlight w:val="none"/>
              </w:rPr>
              <w:t>公开事项内容</w:t>
            </w:r>
          </w:p>
        </w:tc>
        <w:tc>
          <w:tcPr>
            <w:tcW w:w="1810" w:type="dxa"/>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jc w:val="center"/>
              <w:textAlignment w:val="auto"/>
              <w:rPr>
                <w:rFonts w:hint="eastAsia" w:ascii="宋体" w:hAnsi="宋体" w:eastAsia="宋体" w:cs="宋体"/>
                <w:b/>
                <w:bCs/>
                <w:spacing w:val="-6"/>
                <w:sz w:val="21"/>
                <w:szCs w:val="21"/>
                <w:highlight w:val="none"/>
              </w:rPr>
            </w:pPr>
            <w:r>
              <w:rPr>
                <w:rFonts w:hint="eastAsia" w:ascii="宋体" w:hAnsi="宋体" w:eastAsia="宋体" w:cs="宋体"/>
                <w:b/>
                <w:bCs/>
                <w:spacing w:val="-6"/>
                <w:sz w:val="21"/>
                <w:szCs w:val="21"/>
                <w:highlight w:val="none"/>
              </w:rPr>
              <w:t>公开载体</w:t>
            </w:r>
          </w:p>
        </w:tc>
        <w:tc>
          <w:tcPr>
            <w:tcW w:w="1231" w:type="dxa"/>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jc w:val="center"/>
              <w:textAlignment w:val="auto"/>
              <w:rPr>
                <w:rFonts w:hint="eastAsia" w:ascii="宋体" w:hAnsi="宋体" w:eastAsia="宋体" w:cs="宋体"/>
                <w:b/>
                <w:bCs/>
                <w:spacing w:val="-6"/>
                <w:sz w:val="21"/>
                <w:szCs w:val="21"/>
                <w:highlight w:val="none"/>
                <w:lang w:eastAsia="zh-CN"/>
              </w:rPr>
            </w:pPr>
            <w:r>
              <w:rPr>
                <w:rFonts w:hint="eastAsia" w:ascii="宋体" w:hAnsi="宋体" w:eastAsia="宋体" w:cs="宋体"/>
                <w:b/>
                <w:bCs/>
                <w:spacing w:val="-6"/>
                <w:sz w:val="21"/>
                <w:szCs w:val="21"/>
                <w:highlight w:val="none"/>
                <w:lang w:eastAsia="zh-CN"/>
              </w:rPr>
              <w:t>提供部门</w:t>
            </w:r>
          </w:p>
        </w:tc>
        <w:tc>
          <w:tcPr>
            <w:tcW w:w="2082" w:type="dxa"/>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jc w:val="center"/>
              <w:textAlignment w:val="auto"/>
              <w:rPr>
                <w:rFonts w:hint="eastAsia" w:ascii="宋体" w:hAnsi="宋体" w:eastAsia="宋体" w:cs="宋体"/>
                <w:b/>
                <w:spacing w:val="-6"/>
                <w:sz w:val="21"/>
                <w:szCs w:val="21"/>
                <w:highlight w:val="none"/>
                <w:lang w:eastAsia="zh-CN"/>
              </w:rPr>
            </w:pPr>
            <w:r>
              <w:rPr>
                <w:rFonts w:hint="eastAsia" w:ascii="宋体" w:hAnsi="宋体" w:eastAsia="宋体" w:cs="宋体"/>
                <w:b/>
                <w:spacing w:val="-6"/>
                <w:sz w:val="21"/>
                <w:szCs w:val="21"/>
                <w:highlight w:val="none"/>
                <w:lang w:eastAsia="zh-CN"/>
              </w:rPr>
              <w:t>公开频次</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380" w:type="dxa"/>
            <w:gridSpan w:val="2"/>
            <w:vMerge w:val="restart"/>
            <w:tcBorders>
              <w:tl2br w:val="nil"/>
              <w:tr2bl w:val="nil"/>
            </w:tcBorders>
            <w:noWrap w:val="0"/>
            <w:vAlign w:val="center"/>
          </w:tcPr>
          <w:p>
            <w:pPr>
              <w:adjustRightInd w:val="0"/>
              <w:snapToGrid w:val="0"/>
              <w:spacing w:line="28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基本信息</w:t>
            </w:r>
          </w:p>
        </w:tc>
        <w:tc>
          <w:tcPr>
            <w:tcW w:w="2557" w:type="dxa"/>
            <w:gridSpan w:val="2"/>
            <w:tcBorders>
              <w:bottom w:val="single" w:color="auto" w:sz="4" w:space="0"/>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公司介绍</w:t>
            </w:r>
          </w:p>
        </w:tc>
        <w:tc>
          <w:tcPr>
            <w:tcW w:w="1810" w:type="dxa"/>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spacing w:val="-6"/>
                <w:sz w:val="21"/>
                <w:szCs w:val="21"/>
                <w:highlight w:val="none"/>
              </w:rPr>
            </w:pPr>
            <w:r>
              <w:rPr>
                <w:rFonts w:hint="eastAsia" w:ascii="宋体" w:hAnsi="宋体" w:eastAsia="宋体" w:cs="宋体"/>
                <w:spacing w:val="-6"/>
                <w:sz w:val="21"/>
                <w:szCs w:val="21"/>
                <w:highlight w:val="none"/>
              </w:rPr>
              <w:t>对外门户网站</w:t>
            </w:r>
          </w:p>
        </w:tc>
        <w:tc>
          <w:tcPr>
            <w:tcW w:w="12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pacing w:val="-6"/>
                <w:sz w:val="21"/>
                <w:szCs w:val="21"/>
                <w:highlight w:val="none"/>
              </w:rPr>
            </w:pPr>
            <w:r>
              <w:rPr>
                <w:rFonts w:hint="eastAsia" w:ascii="宋体" w:hAnsi="宋体" w:eastAsia="宋体" w:cs="宋体"/>
                <w:spacing w:val="-6"/>
                <w:sz w:val="21"/>
                <w:szCs w:val="21"/>
                <w:highlight w:val="none"/>
              </w:rPr>
              <w:t>办公室</w:t>
            </w:r>
          </w:p>
        </w:tc>
        <w:tc>
          <w:tcPr>
            <w:tcW w:w="208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spacing w:val="-6"/>
                <w:sz w:val="21"/>
                <w:szCs w:val="21"/>
                <w:highlight w:val="none"/>
                <w:lang w:eastAsia="zh-CN"/>
              </w:rPr>
            </w:pPr>
            <w:r>
              <w:rPr>
                <w:rFonts w:hint="eastAsia" w:ascii="宋体" w:hAnsi="宋体" w:eastAsia="宋体" w:cs="宋体"/>
                <w:spacing w:val="-6"/>
                <w:sz w:val="21"/>
                <w:szCs w:val="21"/>
                <w:highlight w:val="none"/>
              </w:rPr>
              <w:t>自发生变化之日起10个工作</w:t>
            </w:r>
            <w:r>
              <w:rPr>
                <w:rFonts w:hint="eastAsia" w:ascii="宋体" w:hAnsi="宋体" w:eastAsia="宋体" w:cs="宋体"/>
                <w:spacing w:val="-6"/>
                <w:sz w:val="21"/>
                <w:szCs w:val="21"/>
                <w:highlight w:val="none"/>
                <w:lang w:eastAsia="zh-CN"/>
              </w:rPr>
              <w:t>日</w:t>
            </w:r>
            <w:r>
              <w:rPr>
                <w:rFonts w:hint="eastAsia" w:ascii="宋体" w:hAnsi="宋体" w:eastAsia="宋体" w:cs="宋体"/>
                <w:spacing w:val="-6"/>
                <w:sz w:val="21"/>
                <w:szCs w:val="21"/>
                <w:highlight w:val="none"/>
              </w:rPr>
              <w:t>内更新</w:t>
            </w:r>
            <w:r>
              <w:rPr>
                <w:rFonts w:hint="eastAsia" w:ascii="宋体" w:hAnsi="宋体" w:eastAsia="宋体" w:cs="宋体"/>
                <w:spacing w:val="-6"/>
                <w:sz w:val="21"/>
                <w:szCs w:val="21"/>
                <w:highlight w:val="none"/>
                <w:lang w:eastAsia="zh-CN"/>
              </w:rPr>
              <w:t>。</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380" w:type="dxa"/>
            <w:gridSpan w:val="2"/>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557" w:type="dxa"/>
            <w:gridSpan w:val="2"/>
            <w:tcBorders>
              <w:top w:val="single" w:color="auto" w:sz="4" w:space="0"/>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工商注册登记信息</w:t>
            </w:r>
          </w:p>
        </w:tc>
        <w:tc>
          <w:tcPr>
            <w:tcW w:w="1810" w:type="dxa"/>
            <w:tcBorders>
              <w:top w:val="single" w:color="auto" w:sz="4" w:space="0"/>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spacing w:val="-6"/>
                <w:sz w:val="21"/>
                <w:szCs w:val="21"/>
                <w:highlight w:val="none"/>
              </w:rPr>
            </w:pPr>
            <w:r>
              <w:rPr>
                <w:rFonts w:hint="eastAsia" w:ascii="宋体" w:hAnsi="宋体" w:eastAsia="宋体" w:cs="宋体"/>
                <w:sz w:val="21"/>
                <w:szCs w:val="21"/>
                <w:highlight w:val="none"/>
                <w:lang w:val="en-US" w:eastAsia="zh-CN"/>
              </w:rPr>
              <w:t>国家企业信用信息公示系统</w:t>
            </w:r>
          </w:p>
        </w:tc>
        <w:tc>
          <w:tcPr>
            <w:tcW w:w="12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pacing w:val="-6"/>
                <w:sz w:val="21"/>
                <w:szCs w:val="21"/>
                <w:highlight w:val="none"/>
                <w:lang w:eastAsia="zh-CN"/>
              </w:rPr>
            </w:pPr>
            <w:r>
              <w:rPr>
                <w:rFonts w:hint="eastAsia" w:ascii="宋体" w:hAnsi="宋体" w:eastAsia="宋体" w:cs="宋体"/>
                <w:spacing w:val="-6"/>
                <w:sz w:val="21"/>
                <w:szCs w:val="21"/>
                <w:highlight w:val="none"/>
              </w:rPr>
              <w:t>办公室</w:t>
            </w:r>
          </w:p>
        </w:tc>
        <w:tc>
          <w:tcPr>
            <w:tcW w:w="208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spacing w:val="-6"/>
                <w:sz w:val="21"/>
                <w:szCs w:val="21"/>
                <w:highlight w:val="none"/>
              </w:rPr>
            </w:pPr>
            <w:r>
              <w:rPr>
                <w:rFonts w:hint="eastAsia" w:ascii="宋体" w:hAnsi="宋体" w:eastAsia="宋体" w:cs="宋体"/>
                <w:spacing w:val="-6"/>
                <w:sz w:val="21"/>
                <w:szCs w:val="21"/>
                <w:highlight w:val="none"/>
                <w:lang w:val="en-US" w:eastAsia="zh-CN"/>
              </w:rPr>
              <w:t>自决定/法定变更事项发生之日起或行政批准之日起30日内申请变更。</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380" w:type="dxa"/>
            <w:gridSpan w:val="2"/>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557" w:type="dxa"/>
            <w:gridSpan w:val="2"/>
            <w:tcBorders>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电力业务许可信息</w:t>
            </w:r>
          </w:p>
        </w:tc>
        <w:tc>
          <w:tcPr>
            <w:tcW w:w="1810" w:type="dxa"/>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spacing w:val="-6"/>
                <w:sz w:val="21"/>
                <w:szCs w:val="21"/>
                <w:highlight w:val="none"/>
              </w:rPr>
            </w:pPr>
            <w:r>
              <w:rPr>
                <w:rFonts w:hint="eastAsia" w:ascii="宋体" w:hAnsi="宋体" w:eastAsia="宋体" w:cs="宋体"/>
                <w:spacing w:val="-6"/>
                <w:sz w:val="21"/>
                <w:szCs w:val="21"/>
                <w:highlight w:val="none"/>
              </w:rPr>
              <w:t>95598网站</w:t>
            </w:r>
          </w:p>
        </w:tc>
        <w:tc>
          <w:tcPr>
            <w:tcW w:w="12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pacing w:val="-6"/>
                <w:sz w:val="21"/>
                <w:szCs w:val="21"/>
                <w:highlight w:val="none"/>
              </w:rPr>
            </w:pPr>
            <w:r>
              <w:rPr>
                <w:rFonts w:hint="eastAsia" w:ascii="宋体" w:hAnsi="宋体" w:eastAsia="宋体" w:cs="宋体"/>
                <w:spacing w:val="-6"/>
                <w:sz w:val="21"/>
                <w:szCs w:val="21"/>
                <w:highlight w:val="none"/>
              </w:rPr>
              <w:t>营销部</w:t>
            </w:r>
          </w:p>
        </w:tc>
        <w:tc>
          <w:tcPr>
            <w:tcW w:w="208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spacing w:val="-6"/>
                <w:sz w:val="21"/>
                <w:szCs w:val="21"/>
                <w:highlight w:val="none"/>
                <w:lang w:eastAsia="zh-CN"/>
              </w:rPr>
            </w:pPr>
            <w:r>
              <w:rPr>
                <w:rFonts w:hint="eastAsia" w:ascii="宋体" w:hAnsi="宋体" w:eastAsia="宋体" w:cs="宋体"/>
                <w:spacing w:val="-6"/>
                <w:sz w:val="21"/>
                <w:szCs w:val="21"/>
                <w:highlight w:val="none"/>
              </w:rPr>
              <w:t>自发生变化之日起10个工作</w:t>
            </w:r>
            <w:r>
              <w:rPr>
                <w:rFonts w:hint="eastAsia" w:ascii="宋体" w:hAnsi="宋体" w:eastAsia="宋体" w:cs="宋体"/>
                <w:spacing w:val="-6"/>
                <w:sz w:val="21"/>
                <w:szCs w:val="21"/>
                <w:highlight w:val="none"/>
                <w:lang w:eastAsia="zh-CN"/>
              </w:rPr>
              <w:t>日</w:t>
            </w:r>
            <w:r>
              <w:rPr>
                <w:rFonts w:hint="eastAsia" w:ascii="宋体" w:hAnsi="宋体" w:eastAsia="宋体" w:cs="宋体"/>
                <w:spacing w:val="-6"/>
                <w:sz w:val="21"/>
                <w:szCs w:val="21"/>
                <w:highlight w:val="none"/>
              </w:rPr>
              <w:t>内更新</w:t>
            </w:r>
            <w:r>
              <w:rPr>
                <w:rFonts w:hint="eastAsia" w:ascii="宋体" w:hAnsi="宋体" w:eastAsia="宋体" w:cs="宋体"/>
                <w:spacing w:val="-6"/>
                <w:sz w:val="21"/>
                <w:szCs w:val="21"/>
                <w:highlight w:val="none"/>
                <w:lang w:eastAsia="zh-CN"/>
              </w:rPr>
              <w:t>。</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380" w:type="dxa"/>
            <w:gridSpan w:val="2"/>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557" w:type="dxa"/>
            <w:gridSpan w:val="2"/>
            <w:tcBorders>
              <w:bottom w:val="single" w:color="auto" w:sz="4" w:space="0"/>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公司治理及管理架构</w:t>
            </w:r>
          </w:p>
        </w:tc>
        <w:tc>
          <w:tcPr>
            <w:tcW w:w="1810" w:type="dxa"/>
            <w:tcBorders>
              <w:bottom w:val="single" w:color="auto" w:sz="4" w:space="0"/>
              <w:tl2br w:val="nil"/>
              <w:tr2bl w:val="nil"/>
            </w:tcBorders>
            <w:noWrap w:val="0"/>
            <w:vAlign w:val="center"/>
          </w:tcPr>
          <w:p>
            <w:pPr>
              <w:adjustRightInd w:val="0"/>
              <w:snapToGrid w:val="0"/>
              <w:spacing w:line="280" w:lineRule="exact"/>
              <w:jc w:val="both"/>
              <w:rPr>
                <w:rFonts w:hint="eastAsia" w:ascii="宋体" w:hAnsi="宋体" w:eastAsia="宋体" w:cs="宋体"/>
                <w:spacing w:val="-6"/>
                <w:sz w:val="21"/>
                <w:szCs w:val="21"/>
                <w:highlight w:val="none"/>
                <w:lang w:eastAsia="zh-CN"/>
              </w:rPr>
            </w:pPr>
            <w:r>
              <w:rPr>
                <w:rFonts w:hint="eastAsia" w:ascii="宋体" w:hAnsi="宋体" w:eastAsia="宋体" w:cs="宋体"/>
                <w:spacing w:val="-6"/>
                <w:sz w:val="21"/>
                <w:szCs w:val="21"/>
                <w:highlight w:val="none"/>
              </w:rPr>
              <w:t>对外门户网站</w:t>
            </w:r>
            <w:r>
              <w:rPr>
                <w:rFonts w:hint="eastAsia" w:ascii="宋体" w:hAnsi="宋体" w:eastAsia="宋体" w:cs="宋体"/>
                <w:spacing w:val="-6"/>
                <w:sz w:val="21"/>
                <w:szCs w:val="21"/>
                <w:highlight w:val="none"/>
                <w:lang w:eastAsia="zh-CN"/>
              </w:rPr>
              <w:t>、</w:t>
            </w:r>
          </w:p>
          <w:p>
            <w:pPr>
              <w:adjustRightInd w:val="0"/>
              <w:snapToGrid w:val="0"/>
              <w:spacing w:line="280" w:lineRule="exact"/>
              <w:jc w:val="both"/>
              <w:rPr>
                <w:rFonts w:hint="eastAsia" w:ascii="宋体" w:hAnsi="宋体" w:eastAsia="宋体" w:cs="宋体"/>
                <w:spacing w:val="-6"/>
                <w:sz w:val="21"/>
                <w:szCs w:val="21"/>
                <w:highlight w:val="none"/>
                <w:lang w:eastAsia="zh-CN"/>
              </w:rPr>
            </w:pPr>
            <w:r>
              <w:rPr>
                <w:rFonts w:hint="eastAsia" w:ascii="宋体" w:hAnsi="宋体" w:eastAsia="宋体" w:cs="宋体"/>
                <w:spacing w:val="-6"/>
                <w:sz w:val="21"/>
                <w:szCs w:val="21"/>
                <w:highlight w:val="none"/>
                <w:lang w:eastAsia="zh-CN"/>
              </w:rPr>
              <w:t>年鉴</w:t>
            </w:r>
          </w:p>
        </w:tc>
        <w:tc>
          <w:tcPr>
            <w:tcW w:w="12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pacing w:val="-6"/>
                <w:sz w:val="21"/>
                <w:szCs w:val="21"/>
                <w:highlight w:val="none"/>
                <w:lang w:eastAsia="zh-CN"/>
              </w:rPr>
            </w:pPr>
            <w:r>
              <w:rPr>
                <w:rFonts w:hint="eastAsia" w:ascii="宋体" w:hAnsi="宋体" w:eastAsia="宋体" w:cs="宋体"/>
                <w:spacing w:val="-6"/>
                <w:sz w:val="21"/>
                <w:szCs w:val="21"/>
                <w:highlight w:val="none"/>
                <w:lang w:eastAsia="zh-CN"/>
              </w:rPr>
              <w:t>组织部</w:t>
            </w:r>
          </w:p>
        </w:tc>
        <w:tc>
          <w:tcPr>
            <w:tcW w:w="208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spacing w:val="-6"/>
                <w:sz w:val="21"/>
                <w:szCs w:val="21"/>
                <w:highlight w:val="none"/>
              </w:rPr>
            </w:pPr>
            <w:r>
              <w:rPr>
                <w:rFonts w:hint="eastAsia" w:ascii="宋体" w:hAnsi="宋体" w:eastAsia="宋体" w:cs="宋体"/>
                <w:spacing w:val="-6"/>
                <w:sz w:val="21"/>
                <w:szCs w:val="21"/>
                <w:highlight w:val="none"/>
                <w:lang w:val="en-US" w:eastAsia="zh-CN"/>
              </w:rPr>
              <w:t>根据具体情况确定。</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380" w:type="dxa"/>
            <w:gridSpan w:val="2"/>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557" w:type="dxa"/>
            <w:gridSpan w:val="2"/>
            <w:tcBorders>
              <w:top w:val="single" w:color="auto" w:sz="4" w:space="0"/>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企业年度报告</w:t>
            </w:r>
          </w:p>
        </w:tc>
        <w:tc>
          <w:tcPr>
            <w:tcW w:w="1810" w:type="dxa"/>
            <w:tcBorders>
              <w:top w:val="single" w:color="auto" w:sz="4" w:space="0"/>
              <w:bottom w:val="single" w:color="auto" w:sz="4" w:space="0"/>
              <w:tl2br w:val="nil"/>
              <w:tr2bl w:val="nil"/>
            </w:tcBorders>
            <w:noWrap w:val="0"/>
            <w:vAlign w:val="center"/>
          </w:tcPr>
          <w:p>
            <w:pPr>
              <w:adjustRightInd w:val="0"/>
              <w:snapToGrid w:val="0"/>
              <w:spacing w:line="280" w:lineRule="exact"/>
              <w:jc w:val="both"/>
              <w:rPr>
                <w:rFonts w:hint="eastAsia" w:ascii="宋体" w:hAnsi="宋体" w:eastAsia="宋体" w:cs="宋体"/>
                <w:spacing w:val="-6"/>
                <w:sz w:val="21"/>
                <w:szCs w:val="21"/>
                <w:highlight w:val="none"/>
              </w:rPr>
            </w:pPr>
            <w:r>
              <w:rPr>
                <w:rFonts w:hint="eastAsia" w:ascii="宋体" w:hAnsi="宋体" w:eastAsia="宋体" w:cs="宋体"/>
                <w:spacing w:val="-6"/>
                <w:sz w:val="21"/>
                <w:szCs w:val="21"/>
                <w:highlight w:val="none"/>
              </w:rPr>
              <w:t>对外门户网站</w:t>
            </w:r>
          </w:p>
        </w:tc>
        <w:tc>
          <w:tcPr>
            <w:tcW w:w="12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pacing w:val="-6"/>
                <w:sz w:val="21"/>
                <w:szCs w:val="21"/>
                <w:highlight w:val="none"/>
              </w:rPr>
            </w:pPr>
            <w:r>
              <w:rPr>
                <w:rFonts w:hint="eastAsia" w:ascii="宋体" w:hAnsi="宋体" w:eastAsia="宋体" w:cs="宋体"/>
                <w:spacing w:val="-6"/>
                <w:sz w:val="21"/>
                <w:szCs w:val="21"/>
                <w:highlight w:val="none"/>
              </w:rPr>
              <w:t>办公室</w:t>
            </w:r>
          </w:p>
        </w:tc>
        <w:tc>
          <w:tcPr>
            <w:tcW w:w="208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spacing w:val="-6"/>
                <w:sz w:val="21"/>
                <w:szCs w:val="21"/>
                <w:highlight w:val="none"/>
                <w:lang w:val="en-US" w:eastAsia="zh-CN"/>
              </w:rPr>
            </w:pPr>
            <w:r>
              <w:rPr>
                <w:rFonts w:hint="eastAsia" w:ascii="宋体" w:hAnsi="宋体" w:eastAsia="宋体" w:cs="宋体"/>
                <w:spacing w:val="-6"/>
                <w:sz w:val="21"/>
                <w:szCs w:val="21"/>
                <w:highlight w:val="none"/>
                <w:lang w:val="en-US" w:eastAsia="zh-CN"/>
              </w:rPr>
              <w:t>按年度更新。</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380" w:type="dxa"/>
            <w:gridSpan w:val="2"/>
            <w:vMerge w:val="restart"/>
            <w:tcBorders>
              <w:tl2br w:val="nil"/>
              <w:tr2bl w:val="nil"/>
            </w:tcBorders>
            <w:noWrap w:val="0"/>
            <w:vAlign w:val="center"/>
          </w:tcPr>
          <w:p>
            <w:pPr>
              <w:adjustRightInd w:val="0"/>
              <w:snapToGrid w:val="0"/>
              <w:spacing w:line="28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重要事项</w:t>
            </w:r>
          </w:p>
        </w:tc>
        <w:tc>
          <w:tcPr>
            <w:tcW w:w="2557" w:type="dxa"/>
            <w:gridSpan w:val="2"/>
            <w:tcBorders>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公司领导</w:t>
            </w:r>
          </w:p>
        </w:tc>
        <w:tc>
          <w:tcPr>
            <w:tcW w:w="1810" w:type="dxa"/>
            <w:tcBorders>
              <w:top w:val="single" w:color="auto" w:sz="4" w:space="0"/>
              <w:tl2br w:val="nil"/>
              <w:tr2bl w:val="nil"/>
            </w:tcBorders>
            <w:noWrap w:val="0"/>
            <w:vAlign w:val="center"/>
          </w:tcPr>
          <w:p>
            <w:pPr>
              <w:adjustRightInd w:val="0"/>
              <w:snapToGrid w:val="0"/>
              <w:spacing w:line="280" w:lineRule="exact"/>
              <w:jc w:val="both"/>
              <w:rPr>
                <w:rFonts w:hint="eastAsia" w:ascii="宋体" w:hAnsi="宋体" w:eastAsia="宋体" w:cs="宋体"/>
                <w:spacing w:val="-6"/>
                <w:sz w:val="21"/>
                <w:szCs w:val="21"/>
                <w:highlight w:val="none"/>
              </w:rPr>
            </w:pPr>
            <w:r>
              <w:rPr>
                <w:rFonts w:hint="eastAsia" w:ascii="宋体" w:hAnsi="宋体" w:eastAsia="宋体" w:cs="宋体"/>
                <w:spacing w:val="-6"/>
                <w:sz w:val="21"/>
                <w:szCs w:val="21"/>
                <w:highlight w:val="none"/>
              </w:rPr>
              <w:t>对外门户网站</w:t>
            </w:r>
          </w:p>
        </w:tc>
        <w:tc>
          <w:tcPr>
            <w:tcW w:w="1231" w:type="dxa"/>
            <w:tcBorders>
              <w:tl2br w:val="nil"/>
              <w:tr2bl w:val="nil"/>
            </w:tcBorders>
            <w:noWrap w:val="0"/>
            <w:vAlign w:val="center"/>
          </w:tcPr>
          <w:p>
            <w:pPr>
              <w:adjustRightInd w:val="0"/>
              <w:snapToGrid w:val="0"/>
              <w:spacing w:line="28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组织部</w:t>
            </w:r>
          </w:p>
        </w:tc>
        <w:tc>
          <w:tcPr>
            <w:tcW w:w="2082" w:type="dxa"/>
            <w:tcBorders>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lang w:val="en-US" w:eastAsia="zh-CN"/>
              </w:rPr>
            </w:pPr>
            <w:r>
              <w:rPr>
                <w:rFonts w:hint="eastAsia" w:ascii="宋体" w:hAnsi="宋体" w:eastAsia="宋体" w:cs="宋体"/>
                <w:spacing w:val="-6"/>
                <w:sz w:val="21"/>
                <w:szCs w:val="21"/>
                <w:highlight w:val="none"/>
              </w:rPr>
              <w:t>自</w:t>
            </w:r>
            <w:r>
              <w:rPr>
                <w:rFonts w:hint="eastAsia" w:ascii="宋体" w:hAnsi="宋体" w:eastAsia="宋体" w:cs="宋体"/>
                <w:spacing w:val="-6"/>
                <w:sz w:val="21"/>
                <w:szCs w:val="21"/>
                <w:highlight w:val="none"/>
                <w:lang w:eastAsia="zh-CN"/>
              </w:rPr>
              <w:t>宣布</w:t>
            </w:r>
            <w:r>
              <w:rPr>
                <w:rFonts w:hint="eastAsia" w:ascii="宋体" w:hAnsi="宋体" w:eastAsia="宋体" w:cs="宋体"/>
                <w:spacing w:val="-6"/>
                <w:sz w:val="21"/>
                <w:szCs w:val="21"/>
                <w:highlight w:val="none"/>
              </w:rPr>
              <w:t>之日起</w:t>
            </w:r>
            <w:r>
              <w:rPr>
                <w:rFonts w:hint="eastAsia" w:ascii="宋体" w:hAnsi="宋体" w:eastAsia="宋体" w:cs="宋体"/>
                <w:spacing w:val="-6"/>
                <w:sz w:val="21"/>
                <w:szCs w:val="21"/>
                <w:highlight w:val="none"/>
                <w:lang w:val="en-US" w:eastAsia="zh-CN"/>
              </w:rPr>
              <w:t>10</w:t>
            </w:r>
            <w:r>
              <w:rPr>
                <w:rFonts w:hint="eastAsia" w:ascii="宋体" w:hAnsi="宋体" w:eastAsia="宋体" w:cs="宋体"/>
                <w:spacing w:val="-6"/>
                <w:sz w:val="21"/>
                <w:szCs w:val="21"/>
                <w:highlight w:val="none"/>
              </w:rPr>
              <w:t>个工作</w:t>
            </w:r>
            <w:r>
              <w:rPr>
                <w:rFonts w:hint="eastAsia" w:ascii="宋体" w:hAnsi="宋体" w:eastAsia="宋体" w:cs="宋体"/>
                <w:spacing w:val="-6"/>
                <w:sz w:val="21"/>
                <w:szCs w:val="21"/>
                <w:highlight w:val="none"/>
                <w:lang w:eastAsia="zh-CN"/>
              </w:rPr>
              <w:t>日</w:t>
            </w:r>
            <w:r>
              <w:rPr>
                <w:rFonts w:hint="eastAsia" w:ascii="宋体" w:hAnsi="宋体" w:eastAsia="宋体" w:cs="宋体"/>
                <w:spacing w:val="-6"/>
                <w:sz w:val="21"/>
                <w:szCs w:val="21"/>
                <w:highlight w:val="none"/>
              </w:rPr>
              <w:t>内更新</w:t>
            </w:r>
            <w:r>
              <w:rPr>
                <w:rFonts w:hint="eastAsia" w:ascii="宋体" w:hAnsi="宋体" w:eastAsia="宋体" w:cs="宋体"/>
                <w:spacing w:val="-6"/>
                <w:sz w:val="21"/>
                <w:szCs w:val="21"/>
                <w:highlight w:val="none"/>
                <w:lang w:eastAsia="zh-CN"/>
              </w:rPr>
              <w:t>。</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380" w:type="dxa"/>
            <w:gridSpan w:val="2"/>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557" w:type="dxa"/>
            <w:gridSpan w:val="2"/>
            <w:tcBorders>
              <w:tl2br w:val="nil"/>
              <w:tr2bl w:val="nil"/>
            </w:tcBorders>
            <w:noWrap w:val="0"/>
            <w:vAlign w:val="center"/>
          </w:tcPr>
          <w:p>
            <w:pPr>
              <w:adjustRightInd w:val="0"/>
              <w:snapToGrid w:val="0"/>
              <w:spacing w:line="280" w:lineRule="exact"/>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重大突发事件事态发展和应急处置</w:t>
            </w:r>
          </w:p>
        </w:tc>
        <w:tc>
          <w:tcPr>
            <w:tcW w:w="1810" w:type="dxa"/>
            <w:tcBorders>
              <w:tl2br w:val="nil"/>
              <w:tr2bl w:val="nil"/>
            </w:tcBorders>
            <w:noWrap w:val="0"/>
            <w:vAlign w:val="center"/>
          </w:tcPr>
          <w:p>
            <w:pPr>
              <w:adjustRightInd w:val="0"/>
              <w:snapToGrid w:val="0"/>
              <w:spacing w:line="280" w:lineRule="exact"/>
              <w:jc w:val="both"/>
              <w:rPr>
                <w:rFonts w:hint="eastAsia" w:ascii="宋体" w:hAnsi="宋体" w:eastAsia="宋体" w:cs="宋体"/>
                <w:color w:val="auto"/>
                <w:spacing w:val="-6"/>
                <w:sz w:val="21"/>
                <w:szCs w:val="21"/>
                <w:highlight w:val="none"/>
                <w:lang w:eastAsia="zh-CN"/>
              </w:rPr>
            </w:pPr>
            <w:r>
              <w:rPr>
                <w:rFonts w:hint="eastAsia" w:ascii="宋体" w:hAnsi="宋体" w:eastAsia="宋体" w:cs="宋体"/>
                <w:color w:val="auto"/>
                <w:spacing w:val="-6"/>
                <w:sz w:val="21"/>
                <w:szCs w:val="21"/>
                <w:highlight w:val="none"/>
              </w:rPr>
              <w:t>对外门户网站</w:t>
            </w:r>
            <w:r>
              <w:rPr>
                <w:rFonts w:hint="eastAsia" w:ascii="宋体" w:hAnsi="宋体" w:eastAsia="宋体" w:cs="宋体"/>
                <w:color w:val="auto"/>
                <w:spacing w:val="-6"/>
                <w:sz w:val="21"/>
                <w:szCs w:val="21"/>
                <w:highlight w:val="none"/>
                <w:lang w:eastAsia="zh-CN"/>
              </w:rPr>
              <w:t>、国家电网报</w:t>
            </w:r>
          </w:p>
        </w:tc>
        <w:tc>
          <w:tcPr>
            <w:tcW w:w="1231" w:type="dxa"/>
            <w:tcBorders>
              <w:tl2br w:val="nil"/>
              <w:tr2bl w:val="nil"/>
            </w:tcBorders>
            <w:noWrap w:val="0"/>
            <w:vAlign w:val="center"/>
          </w:tcPr>
          <w:p>
            <w:pPr>
              <w:adjustRightInd w:val="0"/>
              <w:snapToGrid w:val="0"/>
              <w:spacing w:line="280" w:lineRule="exact"/>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安监部</w:t>
            </w:r>
          </w:p>
        </w:tc>
        <w:tc>
          <w:tcPr>
            <w:tcW w:w="2082" w:type="dxa"/>
            <w:tcBorders>
              <w:tl2br w:val="nil"/>
              <w:tr2bl w:val="nil"/>
            </w:tcBorders>
            <w:noWrap w:val="0"/>
            <w:vAlign w:val="center"/>
          </w:tcPr>
          <w:p>
            <w:pPr>
              <w:adjustRightInd w:val="0"/>
              <w:snapToGrid w:val="0"/>
              <w:spacing w:line="280" w:lineRule="exact"/>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根据重大突发事件情况及时</w:t>
            </w:r>
            <w:r>
              <w:rPr>
                <w:rFonts w:hint="eastAsia" w:ascii="宋体" w:hAnsi="宋体" w:eastAsia="宋体" w:cs="宋体"/>
                <w:color w:val="auto"/>
                <w:sz w:val="21"/>
                <w:szCs w:val="21"/>
                <w:highlight w:val="none"/>
                <w:lang w:eastAsia="zh-CN"/>
              </w:rPr>
              <w:t>公开。</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380" w:type="dxa"/>
            <w:gridSpan w:val="2"/>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557" w:type="dxa"/>
            <w:gridSpan w:val="2"/>
            <w:tcBorders>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公司重大改制重组结果</w:t>
            </w:r>
          </w:p>
        </w:tc>
        <w:tc>
          <w:tcPr>
            <w:tcW w:w="18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both"/>
              <w:textAlignment w:val="auto"/>
              <w:rPr>
                <w:rFonts w:hint="eastAsia" w:ascii="宋体" w:hAnsi="宋体" w:eastAsia="宋体" w:cs="宋体"/>
                <w:spacing w:val="-6"/>
                <w:sz w:val="21"/>
                <w:szCs w:val="21"/>
                <w:highlight w:val="none"/>
              </w:rPr>
            </w:pPr>
            <w:r>
              <w:rPr>
                <w:rFonts w:hint="eastAsia" w:ascii="宋体" w:hAnsi="宋体" w:eastAsia="宋体" w:cs="宋体"/>
                <w:spacing w:val="-6"/>
                <w:sz w:val="21"/>
                <w:szCs w:val="21"/>
                <w:highlight w:val="none"/>
                <w:lang w:val="en-US" w:eastAsia="zh-CN"/>
              </w:rPr>
              <w:t>根据具体情况确定</w:t>
            </w:r>
          </w:p>
        </w:tc>
        <w:tc>
          <w:tcPr>
            <w:tcW w:w="1231" w:type="dxa"/>
            <w:tcBorders>
              <w:tl2br w:val="nil"/>
              <w:tr2bl w:val="nil"/>
            </w:tcBorders>
            <w:noWrap w:val="0"/>
            <w:vAlign w:val="center"/>
          </w:tcPr>
          <w:p>
            <w:pPr>
              <w:adjustRightInd w:val="0"/>
              <w:snapToGrid w:val="0"/>
              <w:spacing w:line="280" w:lineRule="exact"/>
              <w:jc w:val="center"/>
              <w:rPr>
                <w:rFonts w:hint="eastAsia" w:ascii="宋体" w:hAnsi="宋体" w:eastAsia="宋体" w:cs="宋体"/>
                <w:sz w:val="21"/>
                <w:szCs w:val="21"/>
                <w:highlight w:val="none"/>
                <w:lang w:eastAsia="zh-CN"/>
              </w:rPr>
            </w:pPr>
            <w:r>
              <w:rPr>
                <w:rFonts w:hint="eastAsia" w:ascii="宋体" w:hAnsi="宋体" w:eastAsia="宋体" w:cs="宋体"/>
                <w:spacing w:val="-6"/>
                <w:sz w:val="21"/>
                <w:szCs w:val="21"/>
                <w:highlight w:val="none"/>
              </w:rPr>
              <w:t>办公室</w:t>
            </w:r>
          </w:p>
        </w:tc>
        <w:tc>
          <w:tcPr>
            <w:tcW w:w="2082" w:type="dxa"/>
            <w:tcBorders>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lang w:val="en-US" w:eastAsia="zh-CN"/>
              </w:rPr>
            </w:pPr>
            <w:r>
              <w:rPr>
                <w:rFonts w:hint="eastAsia" w:ascii="宋体" w:hAnsi="宋体" w:eastAsia="宋体" w:cs="宋体"/>
                <w:spacing w:val="-6"/>
                <w:sz w:val="21"/>
                <w:szCs w:val="21"/>
                <w:highlight w:val="none"/>
                <w:lang w:val="en-US" w:eastAsia="zh-CN"/>
              </w:rPr>
              <w:t>根据具体情况确定。</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380" w:type="dxa"/>
            <w:gridSpan w:val="2"/>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557" w:type="dxa"/>
            <w:gridSpan w:val="2"/>
            <w:tcBorders>
              <w:tl2br w:val="nil"/>
              <w:tr2bl w:val="nil"/>
            </w:tcBorders>
            <w:noWrap w:val="0"/>
            <w:vAlign w:val="center"/>
          </w:tcPr>
          <w:p>
            <w:pPr>
              <w:adjustRightInd w:val="0"/>
              <w:snapToGrid w:val="0"/>
              <w:spacing w:line="280" w:lineRule="exact"/>
              <w:jc w:val="both"/>
              <w:rPr>
                <w:rFonts w:hint="eastAsia" w:ascii="宋体" w:hAnsi="宋体" w:eastAsia="宋体" w:cs="宋体"/>
                <w:kern w:val="0"/>
                <w:sz w:val="21"/>
                <w:szCs w:val="21"/>
                <w:highlight w:val="none"/>
              </w:rPr>
            </w:pPr>
            <w:r>
              <w:rPr>
                <w:rFonts w:hint="eastAsia" w:ascii="宋体" w:hAnsi="宋体" w:eastAsia="宋体" w:cs="宋体"/>
                <w:sz w:val="21"/>
                <w:szCs w:val="21"/>
                <w:highlight w:val="none"/>
              </w:rPr>
              <w:t>依照法律法规和有关监</w:t>
            </w:r>
            <w:r>
              <w:rPr>
                <w:rFonts w:hint="eastAsia" w:ascii="宋体" w:hAnsi="宋体" w:eastAsia="宋体" w:cs="宋体"/>
                <w:kern w:val="0"/>
                <w:sz w:val="21"/>
                <w:szCs w:val="21"/>
                <w:highlight w:val="none"/>
              </w:rPr>
              <w:t>管机构要求须披露的信息</w:t>
            </w:r>
          </w:p>
        </w:tc>
        <w:tc>
          <w:tcPr>
            <w:tcW w:w="1810" w:type="dxa"/>
            <w:tcBorders>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r>
              <w:rPr>
                <w:rFonts w:hint="eastAsia" w:ascii="宋体" w:hAnsi="宋体" w:eastAsia="宋体" w:cs="宋体"/>
                <w:spacing w:val="-6"/>
                <w:sz w:val="21"/>
                <w:szCs w:val="21"/>
                <w:highlight w:val="none"/>
                <w:lang w:val="en-US" w:eastAsia="zh-CN"/>
              </w:rPr>
              <w:t>根据具体情况确定</w:t>
            </w:r>
          </w:p>
        </w:tc>
        <w:tc>
          <w:tcPr>
            <w:tcW w:w="1231" w:type="dxa"/>
            <w:tcBorders>
              <w:tl2br w:val="nil"/>
              <w:tr2bl w:val="nil"/>
            </w:tcBorders>
            <w:noWrap w:val="0"/>
            <w:vAlign w:val="center"/>
          </w:tcPr>
          <w:p>
            <w:pPr>
              <w:adjustRightInd w:val="0"/>
              <w:snapToGrid w:val="0"/>
              <w:spacing w:line="280" w:lineRule="exact"/>
              <w:jc w:val="center"/>
              <w:rPr>
                <w:rFonts w:hint="eastAsia" w:ascii="宋体" w:hAnsi="宋体" w:eastAsia="宋体" w:cs="宋体"/>
                <w:sz w:val="21"/>
                <w:szCs w:val="21"/>
                <w:highlight w:val="none"/>
                <w:lang w:eastAsia="zh-CN"/>
              </w:rPr>
            </w:pPr>
            <w:r>
              <w:rPr>
                <w:rFonts w:hint="eastAsia" w:ascii="宋体" w:hAnsi="宋体" w:eastAsia="宋体" w:cs="宋体"/>
                <w:spacing w:val="-6"/>
                <w:sz w:val="21"/>
                <w:szCs w:val="21"/>
                <w:highlight w:val="none"/>
              </w:rPr>
              <w:t>办公室</w:t>
            </w:r>
          </w:p>
          <w:p>
            <w:pPr>
              <w:adjustRightInd w:val="0"/>
              <w:snapToGrid w:val="0"/>
              <w:spacing w:line="280" w:lineRule="exact"/>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发展部</w:t>
            </w:r>
          </w:p>
          <w:p>
            <w:pPr>
              <w:adjustRightInd w:val="0"/>
              <w:snapToGrid w:val="0"/>
              <w:spacing w:line="280" w:lineRule="exact"/>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安监部</w:t>
            </w:r>
          </w:p>
          <w:p>
            <w:pPr>
              <w:adjustRightInd w:val="0"/>
              <w:snapToGrid w:val="0"/>
              <w:spacing w:line="280" w:lineRule="exact"/>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建设部</w:t>
            </w:r>
          </w:p>
          <w:p>
            <w:pPr>
              <w:adjustRightInd w:val="0"/>
              <w:snapToGrid w:val="0"/>
              <w:spacing w:line="280" w:lineRule="exact"/>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营销部</w:t>
            </w:r>
          </w:p>
          <w:p>
            <w:pPr>
              <w:adjustRightInd w:val="0"/>
              <w:snapToGrid w:val="0"/>
              <w:spacing w:line="280" w:lineRule="exact"/>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调控中心</w:t>
            </w:r>
          </w:p>
        </w:tc>
        <w:tc>
          <w:tcPr>
            <w:tcW w:w="2082" w:type="dxa"/>
            <w:tcBorders>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根据具体情况确定</w:t>
            </w:r>
            <w:r>
              <w:rPr>
                <w:rFonts w:hint="eastAsia" w:ascii="宋体" w:hAnsi="宋体" w:eastAsia="宋体" w:cs="宋体"/>
                <w:sz w:val="21"/>
                <w:szCs w:val="21"/>
                <w:highlight w:val="none"/>
                <w:lang w:eastAsia="zh-CN"/>
              </w:rPr>
              <w:t>。</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519" w:type="dxa"/>
            <w:vMerge w:val="restart"/>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电力服务</w:t>
            </w:r>
          </w:p>
          <w:p>
            <w:pPr>
              <w:spacing w:line="280" w:lineRule="exact"/>
              <w:jc w:val="center"/>
              <w:rPr>
                <w:rFonts w:hint="eastAsia" w:ascii="宋体" w:hAnsi="宋体" w:eastAsia="宋体" w:cs="宋体"/>
                <w:sz w:val="21"/>
                <w:szCs w:val="21"/>
                <w:highlight w:val="none"/>
              </w:rPr>
            </w:pPr>
          </w:p>
        </w:tc>
        <w:tc>
          <w:tcPr>
            <w:tcW w:w="861" w:type="dxa"/>
            <w:tcBorders>
              <w:tl2br w:val="nil"/>
              <w:tr2bl w:val="nil"/>
            </w:tcBorders>
            <w:noWrap w:val="0"/>
            <w:vAlign w:val="center"/>
          </w:tcPr>
          <w:p>
            <w:pPr>
              <w:adjustRightInd w:val="0"/>
              <w:snapToGrid w:val="0"/>
              <w:spacing w:line="28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用电业务办理</w:t>
            </w:r>
          </w:p>
        </w:tc>
        <w:tc>
          <w:tcPr>
            <w:tcW w:w="2557"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eastAsia" w:ascii="宋体" w:hAnsi="宋体" w:eastAsia="宋体" w:cs="宋体"/>
                <w:sz w:val="21"/>
                <w:szCs w:val="21"/>
                <w:highlight w:val="none"/>
                <w:lang w:eastAsia="zh-CN"/>
              </w:rPr>
            </w:pPr>
            <w:r>
              <w:rPr>
                <w:rFonts w:hint="eastAsia" w:ascii="宋体" w:hAnsi="宋体" w:eastAsia="宋体" w:cs="宋体"/>
                <w:kern w:val="0"/>
                <w:sz w:val="21"/>
                <w:szCs w:val="21"/>
                <w:highlight w:val="none"/>
                <w:lang w:bidi="ar"/>
              </w:rPr>
              <w:t>各类用户办理新装、增容与变更用电性质等用电业务的工作流程、办理时限、办理环节、申请资料以及业务办理环节中涉及审核查验事项的范围、明细和依据等用电业务有关信息</w:t>
            </w:r>
          </w:p>
        </w:tc>
        <w:tc>
          <w:tcPr>
            <w:tcW w:w="18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eastAsia" w:ascii="宋体" w:hAnsi="宋体" w:eastAsia="宋体" w:cs="宋体"/>
                <w:sz w:val="21"/>
                <w:szCs w:val="21"/>
                <w:highlight w:val="none"/>
              </w:rPr>
            </w:pPr>
            <w:r>
              <w:rPr>
                <w:rFonts w:hint="eastAsia" w:ascii="宋体" w:hAnsi="宋体" w:eastAsia="宋体" w:cs="宋体"/>
                <w:spacing w:val="-6"/>
                <w:sz w:val="21"/>
                <w:szCs w:val="21"/>
                <w:highlight w:val="none"/>
                <w:lang w:val="en-US" w:eastAsia="zh-CN"/>
              </w:rPr>
              <w:t>对外门户网站；网上国网App；95598网站；供电营业厅</w:t>
            </w:r>
          </w:p>
        </w:tc>
        <w:tc>
          <w:tcPr>
            <w:tcW w:w="12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营销部</w:t>
            </w:r>
          </w:p>
        </w:tc>
        <w:tc>
          <w:tcPr>
            <w:tcW w:w="208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自发生变化之日起10个工作</w:t>
            </w:r>
            <w:r>
              <w:rPr>
                <w:rFonts w:hint="eastAsia" w:ascii="宋体" w:hAnsi="宋体" w:eastAsia="宋体" w:cs="宋体"/>
                <w:sz w:val="21"/>
                <w:szCs w:val="21"/>
                <w:highlight w:val="none"/>
                <w:lang w:eastAsia="zh-CN"/>
              </w:rPr>
              <w:t>日</w:t>
            </w:r>
            <w:r>
              <w:rPr>
                <w:rFonts w:hint="eastAsia" w:ascii="宋体" w:hAnsi="宋体" w:eastAsia="宋体" w:cs="宋体"/>
                <w:sz w:val="21"/>
                <w:szCs w:val="21"/>
                <w:highlight w:val="none"/>
              </w:rPr>
              <w:t>内更新，</w:t>
            </w:r>
            <w:r>
              <w:rPr>
                <w:rFonts w:hint="eastAsia" w:ascii="宋体" w:hAnsi="宋体" w:eastAsia="宋体" w:cs="宋体"/>
                <w:color w:val="000000"/>
                <w:kern w:val="0"/>
                <w:sz w:val="21"/>
                <w:szCs w:val="21"/>
                <w:highlight w:val="none"/>
                <w:lang w:bidi="ar"/>
              </w:rPr>
              <w:t>国家另有规定的，按照规定执行</w:t>
            </w:r>
            <w:r>
              <w:rPr>
                <w:rFonts w:hint="eastAsia" w:ascii="宋体" w:hAnsi="宋体" w:eastAsia="宋体" w:cs="宋体"/>
                <w:color w:val="000000"/>
                <w:kern w:val="0"/>
                <w:sz w:val="21"/>
                <w:szCs w:val="21"/>
                <w:highlight w:val="none"/>
                <w:lang w:eastAsia="zh-CN" w:bidi="ar"/>
              </w:rPr>
              <w:t>。</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519"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861" w:type="dxa"/>
            <w:vMerge w:val="restart"/>
            <w:tcBorders>
              <w:tl2br w:val="nil"/>
              <w:tr2bl w:val="nil"/>
            </w:tcBorders>
            <w:noWrap w:val="0"/>
            <w:vAlign w:val="center"/>
          </w:tcPr>
          <w:p>
            <w:pPr>
              <w:adjustRightInd w:val="0"/>
              <w:snapToGrid w:val="0"/>
              <w:spacing w:line="280" w:lineRule="exact"/>
              <w:jc w:val="center"/>
              <w:rPr>
                <w:rFonts w:hint="eastAsia" w:ascii="宋体" w:hAnsi="宋体" w:eastAsia="宋体" w:cs="宋体"/>
                <w:sz w:val="21"/>
                <w:szCs w:val="21"/>
                <w:highlight w:val="none"/>
              </w:rPr>
            </w:pPr>
            <w:r>
              <w:rPr>
                <w:rFonts w:hint="eastAsia" w:ascii="宋体" w:hAnsi="宋体" w:eastAsia="宋体" w:cs="宋体"/>
                <w:spacing w:val="-6"/>
                <w:sz w:val="21"/>
                <w:szCs w:val="21"/>
                <w:highlight w:val="none"/>
              </w:rPr>
              <w:t>电价和收费标准</w:t>
            </w:r>
          </w:p>
        </w:tc>
        <w:tc>
          <w:tcPr>
            <w:tcW w:w="2557"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eastAsia" w:ascii="宋体" w:hAnsi="宋体" w:eastAsia="宋体" w:cs="宋体"/>
                <w:sz w:val="21"/>
                <w:szCs w:val="21"/>
                <w:highlight w:val="none"/>
              </w:rPr>
            </w:pPr>
            <w:r>
              <w:rPr>
                <w:rFonts w:hint="eastAsia" w:ascii="宋体" w:hAnsi="宋体" w:eastAsia="宋体" w:cs="宋体"/>
                <w:color w:val="000000"/>
                <w:kern w:val="0"/>
                <w:sz w:val="21"/>
                <w:szCs w:val="21"/>
                <w:highlight w:val="none"/>
                <w:lang w:bidi="ar"/>
              </w:rPr>
              <w:t>执行电价政策</w:t>
            </w:r>
          </w:p>
        </w:tc>
        <w:tc>
          <w:tcPr>
            <w:tcW w:w="1810"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对外门户网站；网上国网A</w:t>
            </w:r>
            <w:r>
              <w:rPr>
                <w:rFonts w:hint="eastAsia" w:ascii="宋体" w:hAnsi="宋体" w:eastAsia="宋体" w:cs="宋体"/>
                <w:color w:val="auto"/>
                <w:spacing w:val="-6"/>
                <w:sz w:val="21"/>
                <w:szCs w:val="21"/>
                <w:highlight w:val="none"/>
                <w:lang w:val="en-US" w:eastAsia="zh-CN"/>
              </w:rPr>
              <w:t>pp</w:t>
            </w:r>
            <w:r>
              <w:rPr>
                <w:rFonts w:hint="eastAsia" w:ascii="宋体" w:hAnsi="宋体" w:eastAsia="宋体" w:cs="宋体"/>
                <w:color w:val="auto"/>
                <w:spacing w:val="-6"/>
                <w:sz w:val="21"/>
                <w:szCs w:val="21"/>
                <w:highlight w:val="none"/>
              </w:rPr>
              <w:t>；</w:t>
            </w:r>
            <w:r>
              <w:rPr>
                <w:rFonts w:hint="eastAsia" w:ascii="宋体" w:hAnsi="宋体" w:eastAsia="宋体" w:cs="宋体"/>
                <w:color w:val="auto"/>
                <w:spacing w:val="-6"/>
                <w:sz w:val="21"/>
                <w:szCs w:val="21"/>
                <w:highlight w:val="none"/>
                <w:lang w:val="en-US" w:eastAsia="zh-CN"/>
              </w:rPr>
              <w:t>9</w:t>
            </w:r>
            <w:r>
              <w:rPr>
                <w:rFonts w:hint="eastAsia" w:ascii="宋体" w:hAnsi="宋体" w:eastAsia="宋体" w:cs="宋体"/>
                <w:color w:val="auto"/>
                <w:spacing w:val="-6"/>
                <w:kern w:val="0"/>
                <w:sz w:val="21"/>
                <w:szCs w:val="21"/>
                <w:highlight w:val="none"/>
                <w:lang w:bidi="ar"/>
              </w:rPr>
              <w:t>5598网站</w:t>
            </w:r>
            <w:r>
              <w:rPr>
                <w:rFonts w:hint="eastAsia" w:ascii="宋体" w:hAnsi="宋体" w:eastAsia="宋体" w:cs="宋体"/>
                <w:color w:val="auto"/>
                <w:spacing w:val="-6"/>
                <w:sz w:val="21"/>
                <w:szCs w:val="21"/>
                <w:highlight w:val="none"/>
              </w:rPr>
              <w:t>；供电营业厅</w:t>
            </w:r>
          </w:p>
        </w:tc>
        <w:tc>
          <w:tcPr>
            <w:tcW w:w="1231"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营销部</w:t>
            </w:r>
          </w:p>
          <w:p>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财务部</w:t>
            </w:r>
          </w:p>
        </w:tc>
        <w:tc>
          <w:tcPr>
            <w:tcW w:w="2082"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自发生变化之日起10个工作</w:t>
            </w:r>
            <w:r>
              <w:rPr>
                <w:rFonts w:hint="eastAsia" w:ascii="宋体" w:hAnsi="宋体" w:eastAsia="宋体" w:cs="宋体"/>
                <w:color w:val="auto"/>
                <w:sz w:val="21"/>
                <w:szCs w:val="21"/>
                <w:highlight w:val="none"/>
                <w:lang w:eastAsia="zh-CN"/>
              </w:rPr>
              <w:t>日</w:t>
            </w:r>
            <w:r>
              <w:rPr>
                <w:rFonts w:hint="eastAsia" w:ascii="宋体" w:hAnsi="宋体" w:eastAsia="宋体" w:cs="宋体"/>
                <w:color w:val="auto"/>
                <w:sz w:val="21"/>
                <w:szCs w:val="21"/>
                <w:highlight w:val="none"/>
              </w:rPr>
              <w:t>内更新</w:t>
            </w:r>
            <w:r>
              <w:rPr>
                <w:rFonts w:hint="eastAsia" w:ascii="宋体" w:hAnsi="宋体" w:eastAsia="宋体" w:cs="宋体"/>
                <w:color w:val="auto"/>
                <w:sz w:val="21"/>
                <w:szCs w:val="21"/>
                <w:highlight w:val="none"/>
                <w:lang w:eastAsia="zh-CN"/>
              </w:rPr>
              <w:t>。</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519"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861" w:type="dxa"/>
            <w:vMerge w:val="continue"/>
            <w:tcBorders>
              <w:tl2br w:val="nil"/>
              <w:tr2bl w:val="nil"/>
            </w:tcBorders>
            <w:noWrap w:val="0"/>
            <w:vAlign w:val="center"/>
          </w:tcPr>
          <w:p>
            <w:pPr>
              <w:adjustRightInd w:val="0"/>
              <w:snapToGrid w:val="0"/>
              <w:spacing w:line="280" w:lineRule="exact"/>
              <w:jc w:val="center"/>
              <w:rPr>
                <w:rFonts w:hint="eastAsia" w:ascii="宋体" w:hAnsi="宋体" w:eastAsia="宋体" w:cs="宋体"/>
                <w:sz w:val="21"/>
                <w:szCs w:val="21"/>
                <w:highlight w:val="none"/>
              </w:rPr>
            </w:pPr>
          </w:p>
        </w:tc>
        <w:tc>
          <w:tcPr>
            <w:tcW w:w="2557"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eastAsia" w:ascii="宋体" w:hAnsi="宋体" w:eastAsia="宋体" w:cs="宋体"/>
                <w:sz w:val="21"/>
                <w:szCs w:val="21"/>
                <w:highlight w:val="none"/>
              </w:rPr>
            </w:pPr>
            <w:r>
              <w:rPr>
                <w:rFonts w:hint="eastAsia" w:ascii="宋体" w:hAnsi="宋体" w:eastAsia="宋体" w:cs="宋体"/>
                <w:color w:val="000000"/>
                <w:kern w:val="0"/>
                <w:sz w:val="21"/>
                <w:szCs w:val="21"/>
                <w:highlight w:val="none"/>
                <w:lang w:bidi="ar"/>
              </w:rPr>
              <w:t>高可靠性供电费等政策收费标准</w:t>
            </w:r>
          </w:p>
        </w:tc>
        <w:tc>
          <w:tcPr>
            <w:tcW w:w="1810"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eastAsia" w:ascii="宋体" w:hAnsi="宋体" w:eastAsia="宋体" w:cs="宋体"/>
                <w:color w:val="auto"/>
                <w:spacing w:val="-6"/>
                <w:sz w:val="21"/>
                <w:szCs w:val="21"/>
                <w:highlight w:val="none"/>
              </w:rPr>
            </w:pPr>
          </w:p>
        </w:tc>
        <w:tc>
          <w:tcPr>
            <w:tcW w:w="123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宋体" w:hAnsi="宋体" w:eastAsia="宋体" w:cs="宋体"/>
                <w:color w:val="auto"/>
                <w:sz w:val="21"/>
                <w:szCs w:val="21"/>
                <w:highlight w:val="none"/>
              </w:rPr>
            </w:pPr>
          </w:p>
        </w:tc>
        <w:tc>
          <w:tcPr>
            <w:tcW w:w="2082"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eastAsia" w:ascii="宋体" w:hAnsi="宋体" w:eastAsia="宋体" w:cs="宋体"/>
                <w:color w:val="auto"/>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553" w:hRule="atLeast"/>
          <w:jc w:val="center"/>
        </w:trPr>
        <w:tc>
          <w:tcPr>
            <w:tcW w:w="519"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861" w:type="dxa"/>
            <w:vMerge w:val="continue"/>
            <w:tcBorders>
              <w:tl2br w:val="nil"/>
              <w:tr2bl w:val="nil"/>
            </w:tcBorders>
            <w:noWrap w:val="0"/>
            <w:vAlign w:val="center"/>
          </w:tcPr>
          <w:p>
            <w:pPr>
              <w:adjustRightInd w:val="0"/>
              <w:snapToGrid w:val="0"/>
              <w:spacing w:line="280" w:lineRule="exact"/>
              <w:jc w:val="center"/>
              <w:rPr>
                <w:rFonts w:hint="eastAsia" w:ascii="宋体" w:hAnsi="宋体" w:eastAsia="宋体" w:cs="宋体"/>
                <w:sz w:val="21"/>
                <w:szCs w:val="21"/>
                <w:highlight w:val="none"/>
              </w:rPr>
            </w:pPr>
          </w:p>
        </w:tc>
        <w:tc>
          <w:tcPr>
            <w:tcW w:w="2557" w:type="dxa"/>
            <w:gridSpan w:val="2"/>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eastAsia" w:ascii="宋体" w:hAnsi="宋体" w:eastAsia="宋体" w:cs="宋体"/>
                <w:sz w:val="21"/>
                <w:szCs w:val="21"/>
                <w:highlight w:val="none"/>
              </w:rPr>
            </w:pPr>
            <w:r>
              <w:rPr>
                <w:rFonts w:hint="eastAsia" w:ascii="宋体" w:hAnsi="宋体" w:eastAsia="宋体" w:cs="宋体"/>
                <w:color w:val="000000"/>
                <w:kern w:val="0"/>
                <w:sz w:val="21"/>
                <w:szCs w:val="21"/>
                <w:highlight w:val="none"/>
                <w:lang w:bidi="ar"/>
              </w:rPr>
              <w:t>国网山西省电力公司代理购电最新价格公告</w:t>
            </w:r>
          </w:p>
        </w:tc>
        <w:tc>
          <w:tcPr>
            <w:tcW w:w="1810" w:type="dxa"/>
            <w:vMerge w:val="continue"/>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eastAsia" w:ascii="宋体" w:hAnsi="宋体" w:eastAsia="宋体" w:cs="宋体"/>
                <w:color w:val="auto"/>
                <w:spacing w:val="-6"/>
                <w:sz w:val="21"/>
                <w:szCs w:val="21"/>
                <w:highlight w:val="none"/>
              </w:rPr>
            </w:pPr>
          </w:p>
        </w:tc>
        <w:tc>
          <w:tcPr>
            <w:tcW w:w="1231" w:type="dxa"/>
            <w:vMerge w:val="continue"/>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宋体" w:hAnsi="宋体" w:eastAsia="宋体" w:cs="宋体"/>
                <w:color w:val="auto"/>
                <w:sz w:val="21"/>
                <w:szCs w:val="21"/>
                <w:highlight w:val="none"/>
              </w:rPr>
            </w:pPr>
          </w:p>
        </w:tc>
        <w:tc>
          <w:tcPr>
            <w:tcW w:w="2082" w:type="dxa"/>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6"/>
                <w:sz w:val="21"/>
                <w:szCs w:val="21"/>
                <w:highlight w:val="none"/>
              </w:rPr>
              <w:t>月</w:t>
            </w:r>
            <w:r>
              <w:rPr>
                <w:rFonts w:hint="eastAsia" w:ascii="宋体" w:hAnsi="宋体" w:eastAsia="宋体" w:cs="宋体"/>
                <w:color w:val="auto"/>
                <w:spacing w:val="-6"/>
                <w:sz w:val="21"/>
                <w:szCs w:val="21"/>
                <w:highlight w:val="none"/>
                <w:lang w:eastAsia="zh-CN"/>
              </w:rPr>
              <w:t>末后</w:t>
            </w:r>
            <w:r>
              <w:rPr>
                <w:rFonts w:hint="eastAsia" w:ascii="宋体" w:hAnsi="宋体" w:eastAsia="宋体" w:cs="宋体"/>
                <w:color w:val="auto"/>
                <w:spacing w:val="-6"/>
                <w:sz w:val="21"/>
                <w:szCs w:val="21"/>
                <w:highlight w:val="none"/>
                <w:lang w:val="en-US" w:eastAsia="zh-CN"/>
              </w:rPr>
              <w:t>3个工作日内</w:t>
            </w:r>
            <w:r>
              <w:rPr>
                <w:rFonts w:hint="eastAsia" w:ascii="宋体" w:hAnsi="宋体" w:eastAsia="宋体" w:cs="宋体"/>
                <w:color w:val="auto"/>
                <w:spacing w:val="-6"/>
                <w:sz w:val="21"/>
                <w:szCs w:val="21"/>
                <w:highlight w:val="none"/>
              </w:rPr>
              <w:t>主动公开下月信息</w:t>
            </w:r>
            <w:r>
              <w:rPr>
                <w:rFonts w:hint="eastAsia" w:ascii="宋体" w:hAnsi="宋体" w:eastAsia="宋体" w:cs="宋体"/>
                <w:color w:val="auto"/>
                <w:spacing w:val="-6"/>
                <w:sz w:val="21"/>
                <w:szCs w:val="21"/>
                <w:highlight w:val="none"/>
                <w:lang w:eastAsia="zh-CN"/>
              </w:rPr>
              <w:t>。</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519"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861" w:type="dxa"/>
            <w:vMerge w:val="continue"/>
            <w:tcBorders>
              <w:tl2br w:val="nil"/>
              <w:tr2bl w:val="nil"/>
            </w:tcBorders>
            <w:noWrap w:val="0"/>
            <w:vAlign w:val="center"/>
          </w:tcPr>
          <w:p>
            <w:pPr>
              <w:adjustRightInd w:val="0"/>
              <w:snapToGrid w:val="0"/>
              <w:spacing w:line="280" w:lineRule="exact"/>
              <w:jc w:val="center"/>
              <w:rPr>
                <w:rFonts w:hint="eastAsia" w:ascii="宋体" w:hAnsi="宋体" w:eastAsia="宋体" w:cs="宋体"/>
                <w:sz w:val="21"/>
                <w:szCs w:val="21"/>
                <w:highlight w:val="none"/>
              </w:rPr>
            </w:pPr>
          </w:p>
        </w:tc>
        <w:tc>
          <w:tcPr>
            <w:tcW w:w="2557" w:type="dxa"/>
            <w:gridSpan w:val="2"/>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可再生能源电价附加补助目录清单以及补助资金拨付原则和拨付顺序</w:t>
            </w:r>
          </w:p>
        </w:tc>
        <w:tc>
          <w:tcPr>
            <w:tcW w:w="1810" w:type="dxa"/>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eastAsia" w:ascii="宋体" w:hAnsi="宋体" w:eastAsia="宋体" w:cs="宋体"/>
                <w:color w:val="auto"/>
                <w:spacing w:val="-6"/>
                <w:sz w:val="21"/>
                <w:szCs w:val="21"/>
                <w:highlight w:val="none"/>
                <w:lang w:eastAsia="zh-CN"/>
              </w:rPr>
            </w:pPr>
            <w:r>
              <w:rPr>
                <w:rFonts w:hint="eastAsia" w:ascii="宋体" w:hAnsi="宋体" w:eastAsia="宋体" w:cs="宋体"/>
                <w:color w:val="000000"/>
                <w:kern w:val="0"/>
                <w:sz w:val="21"/>
                <w:szCs w:val="21"/>
                <w:highlight w:val="none"/>
                <w:lang w:eastAsia="zh-CN" w:bidi="ar"/>
              </w:rPr>
              <w:t>国网</w:t>
            </w:r>
            <w:r>
              <w:rPr>
                <w:rFonts w:hint="eastAsia" w:ascii="宋体" w:hAnsi="宋体" w:eastAsia="宋体" w:cs="宋体"/>
                <w:color w:val="000000"/>
                <w:kern w:val="0"/>
                <w:sz w:val="21"/>
                <w:szCs w:val="21"/>
                <w:highlight w:val="none"/>
                <w:lang w:bidi="ar"/>
              </w:rPr>
              <w:t>新能源云</w:t>
            </w:r>
          </w:p>
        </w:tc>
        <w:tc>
          <w:tcPr>
            <w:tcW w:w="1231" w:type="dxa"/>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财务部</w:t>
            </w:r>
          </w:p>
        </w:tc>
        <w:tc>
          <w:tcPr>
            <w:tcW w:w="2082" w:type="dxa"/>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eastAsia" w:ascii="宋体" w:hAnsi="宋体" w:eastAsia="宋体" w:cs="宋体"/>
                <w:color w:val="auto"/>
                <w:spacing w:val="-6"/>
                <w:sz w:val="21"/>
                <w:szCs w:val="21"/>
                <w:highlight w:val="none"/>
              </w:rPr>
            </w:pPr>
            <w:r>
              <w:rPr>
                <w:rFonts w:hint="eastAsia" w:ascii="宋体" w:hAnsi="宋体" w:eastAsia="宋体" w:cs="宋体"/>
                <w:sz w:val="21"/>
                <w:szCs w:val="21"/>
                <w:highlight w:val="none"/>
                <w:lang w:val="en-US" w:eastAsia="zh-CN"/>
              </w:rPr>
              <w:t>国家发布相关信息后5个工作日内公开。</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519" w:type="dxa"/>
            <w:vMerge w:val="restart"/>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电力服务</w:t>
            </w:r>
          </w:p>
        </w:tc>
        <w:tc>
          <w:tcPr>
            <w:tcW w:w="861" w:type="dxa"/>
            <w:tcBorders>
              <w:tl2br w:val="nil"/>
              <w:tr2bl w:val="nil"/>
            </w:tcBorders>
            <w:noWrap w:val="0"/>
            <w:vAlign w:val="center"/>
          </w:tcPr>
          <w:p>
            <w:pPr>
              <w:adjustRightInd w:val="0"/>
              <w:snapToGrid w:val="0"/>
              <w:spacing w:line="280" w:lineRule="exact"/>
              <w:jc w:val="center"/>
              <w:rPr>
                <w:rFonts w:hint="eastAsia" w:ascii="宋体" w:hAnsi="宋体" w:eastAsia="宋体" w:cs="宋体"/>
                <w:sz w:val="21"/>
                <w:szCs w:val="21"/>
                <w:highlight w:val="none"/>
              </w:rPr>
            </w:pPr>
            <w:r>
              <w:rPr>
                <w:rFonts w:hint="eastAsia" w:ascii="宋体" w:hAnsi="宋体" w:eastAsia="宋体" w:cs="宋体"/>
                <w:spacing w:val="-6"/>
                <w:sz w:val="21"/>
                <w:szCs w:val="21"/>
                <w:highlight w:val="none"/>
              </w:rPr>
              <w:t>供电质量和电力可靠性</w:t>
            </w:r>
          </w:p>
        </w:tc>
        <w:tc>
          <w:tcPr>
            <w:tcW w:w="2557" w:type="dxa"/>
            <w:gridSpan w:val="2"/>
            <w:tcBorders>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r>
              <w:rPr>
                <w:rFonts w:hint="eastAsia" w:ascii="宋体" w:hAnsi="宋体" w:eastAsia="宋体" w:cs="宋体"/>
                <w:color w:val="000000"/>
                <w:kern w:val="0"/>
                <w:sz w:val="21"/>
                <w:szCs w:val="21"/>
                <w:highlight w:val="none"/>
                <w:lang w:bidi="ar"/>
              </w:rPr>
              <w:t>供电可靠性、用户受电端电压合格率等指标及相关政策文件、标准</w:t>
            </w:r>
          </w:p>
        </w:tc>
        <w:tc>
          <w:tcPr>
            <w:tcW w:w="1810" w:type="dxa"/>
            <w:tcBorders>
              <w:tl2br w:val="nil"/>
              <w:tr2bl w:val="nil"/>
            </w:tcBorders>
            <w:noWrap w:val="0"/>
            <w:vAlign w:val="center"/>
          </w:tcPr>
          <w:p>
            <w:pPr>
              <w:spacing w:line="280" w:lineRule="exact"/>
              <w:jc w:val="both"/>
              <w:rPr>
                <w:rFonts w:hint="eastAsia" w:ascii="宋体" w:hAnsi="宋体" w:eastAsia="宋体" w:cs="宋体"/>
                <w:spacing w:val="-6"/>
                <w:sz w:val="21"/>
                <w:szCs w:val="21"/>
                <w:highlight w:val="none"/>
                <w:lang w:val="en-US" w:eastAsia="zh-CN"/>
              </w:rPr>
            </w:pPr>
            <w:r>
              <w:rPr>
                <w:rFonts w:hint="eastAsia" w:ascii="宋体" w:hAnsi="宋体" w:eastAsia="宋体" w:cs="宋体"/>
                <w:spacing w:val="-6"/>
                <w:sz w:val="21"/>
                <w:szCs w:val="21"/>
                <w:highlight w:val="none"/>
                <w:lang w:val="en-US" w:eastAsia="zh-CN"/>
              </w:rPr>
              <w:t>对外门户网站；网上国网App；95598网站；供电营业厅</w:t>
            </w:r>
          </w:p>
        </w:tc>
        <w:tc>
          <w:tcPr>
            <w:tcW w:w="1231" w:type="dxa"/>
            <w:tcBorders>
              <w:tl2br w:val="nil"/>
              <w:tr2bl w:val="nil"/>
            </w:tcBorders>
            <w:noWrap w:val="0"/>
            <w:vAlign w:val="center"/>
          </w:tcPr>
          <w:p>
            <w:pPr>
              <w:adjustRightInd w:val="0"/>
              <w:snapToGrid w:val="0"/>
              <w:spacing w:line="28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运检</w:t>
            </w:r>
            <w:r>
              <w:rPr>
                <w:rFonts w:hint="eastAsia" w:ascii="宋体" w:hAnsi="宋体" w:eastAsia="宋体" w:cs="宋体"/>
                <w:sz w:val="21"/>
                <w:szCs w:val="21"/>
                <w:highlight w:val="none"/>
              </w:rPr>
              <w:t>部</w:t>
            </w:r>
          </w:p>
        </w:tc>
        <w:tc>
          <w:tcPr>
            <w:tcW w:w="2082" w:type="dxa"/>
            <w:tcBorders>
              <w:tl2br w:val="nil"/>
              <w:tr2bl w:val="nil"/>
            </w:tcBorders>
            <w:noWrap w:val="0"/>
            <w:vAlign w:val="center"/>
          </w:tcPr>
          <w:p>
            <w:pPr>
              <w:adjustRightInd w:val="0"/>
              <w:snapToGrid w:val="0"/>
              <w:spacing w:line="280" w:lineRule="exact"/>
              <w:jc w:val="both"/>
              <w:rPr>
                <w:rFonts w:hint="eastAsia" w:ascii="宋体" w:hAnsi="宋体" w:eastAsia="宋体" w:cs="宋体"/>
                <w:spacing w:val="-6"/>
                <w:sz w:val="21"/>
                <w:szCs w:val="21"/>
                <w:highlight w:val="none"/>
                <w:lang w:eastAsia="zh-CN"/>
              </w:rPr>
            </w:pPr>
            <w:r>
              <w:rPr>
                <w:rFonts w:hint="eastAsia" w:ascii="宋体" w:hAnsi="宋体" w:eastAsia="宋体" w:cs="宋体"/>
                <w:spacing w:val="-6"/>
                <w:sz w:val="21"/>
                <w:szCs w:val="21"/>
                <w:highlight w:val="none"/>
              </w:rPr>
              <w:t>电压合格率和供电可靠性指标按季度发布，自发生变化之日起10个工作日内更新</w:t>
            </w:r>
            <w:r>
              <w:rPr>
                <w:rFonts w:hint="eastAsia" w:ascii="宋体" w:hAnsi="宋体" w:eastAsia="宋体" w:cs="宋体"/>
                <w:spacing w:val="-6"/>
                <w:sz w:val="21"/>
                <w:szCs w:val="21"/>
                <w:highlight w:val="none"/>
                <w:lang w:eastAsia="zh-CN"/>
              </w:rPr>
              <w:t>。</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519"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861" w:type="dxa"/>
            <w:tcBorders>
              <w:bottom w:val="single" w:color="auto" w:sz="4" w:space="0"/>
              <w:tl2br w:val="nil"/>
              <w:tr2bl w:val="nil"/>
            </w:tcBorders>
            <w:noWrap w:val="0"/>
            <w:vAlign w:val="center"/>
          </w:tcPr>
          <w:p>
            <w:pPr>
              <w:keepNext w:val="0"/>
              <w:keepLines w:val="0"/>
              <w:pageBreakBefore w:val="0"/>
              <w:widowControl w:val="0"/>
              <w:kinsoku/>
              <w:wordWrap w:val="0"/>
              <w:overflowPunct/>
              <w:topLinePunct/>
              <w:autoSpaceDE/>
              <w:autoSpaceDN/>
              <w:bidi w:val="0"/>
              <w:adjustRightInd w:val="0"/>
              <w:snapToGrid w:val="0"/>
              <w:spacing w:line="280" w:lineRule="exact"/>
              <w:jc w:val="center"/>
              <w:textAlignment w:val="auto"/>
              <w:rPr>
                <w:rFonts w:hint="eastAsia" w:ascii="宋体" w:hAnsi="宋体" w:eastAsia="宋体" w:cs="宋体"/>
                <w:spacing w:val="-6"/>
                <w:sz w:val="21"/>
                <w:szCs w:val="21"/>
                <w:highlight w:val="none"/>
              </w:rPr>
            </w:pPr>
            <w:r>
              <w:rPr>
                <w:rFonts w:hint="eastAsia" w:ascii="宋体" w:hAnsi="宋体" w:eastAsia="宋体" w:cs="宋体"/>
                <w:spacing w:val="-6"/>
                <w:sz w:val="21"/>
                <w:szCs w:val="21"/>
                <w:highlight w:val="none"/>
              </w:rPr>
              <w:t>限电</w:t>
            </w:r>
          </w:p>
          <w:p>
            <w:pPr>
              <w:keepNext w:val="0"/>
              <w:keepLines w:val="0"/>
              <w:pageBreakBefore w:val="0"/>
              <w:widowControl w:val="0"/>
              <w:kinsoku/>
              <w:wordWrap w:val="0"/>
              <w:overflowPunct/>
              <w:topLinePunct/>
              <w:autoSpaceDE/>
              <w:autoSpaceDN/>
              <w:bidi w:val="0"/>
              <w:adjustRightInd w:val="0"/>
              <w:snapToGrid w:val="0"/>
              <w:spacing w:line="280" w:lineRule="exact"/>
              <w:jc w:val="center"/>
              <w:textAlignment w:val="auto"/>
              <w:rPr>
                <w:rFonts w:hint="eastAsia" w:ascii="宋体" w:hAnsi="宋体" w:eastAsia="宋体" w:cs="宋体"/>
                <w:sz w:val="21"/>
                <w:szCs w:val="21"/>
                <w:highlight w:val="none"/>
              </w:rPr>
            </w:pPr>
            <w:r>
              <w:rPr>
                <w:rFonts w:hint="eastAsia" w:ascii="宋体" w:hAnsi="宋体" w:eastAsia="宋体" w:cs="宋体"/>
                <w:spacing w:val="-6"/>
                <w:sz w:val="21"/>
                <w:szCs w:val="21"/>
                <w:highlight w:val="none"/>
              </w:rPr>
              <w:t>信息</w:t>
            </w:r>
          </w:p>
        </w:tc>
        <w:tc>
          <w:tcPr>
            <w:tcW w:w="2557" w:type="dxa"/>
            <w:gridSpan w:val="2"/>
            <w:tcBorders>
              <w:bottom w:val="single" w:color="auto" w:sz="4" w:space="0"/>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r>
              <w:rPr>
                <w:rFonts w:hint="eastAsia" w:ascii="宋体" w:hAnsi="宋体" w:eastAsia="宋体" w:cs="宋体"/>
                <w:color w:val="000000"/>
                <w:kern w:val="0"/>
                <w:sz w:val="21"/>
                <w:szCs w:val="21"/>
                <w:highlight w:val="none"/>
                <w:lang w:bidi="ar"/>
              </w:rPr>
              <w:t>通过政府决策程序后的供电营业区有序用电方案、限电序位</w:t>
            </w:r>
          </w:p>
        </w:tc>
        <w:tc>
          <w:tcPr>
            <w:tcW w:w="1810" w:type="dxa"/>
            <w:tcBorders>
              <w:tl2br w:val="nil"/>
              <w:tr2bl w:val="nil"/>
            </w:tcBorders>
            <w:noWrap w:val="0"/>
            <w:vAlign w:val="center"/>
          </w:tcPr>
          <w:p>
            <w:pPr>
              <w:spacing w:line="280" w:lineRule="exact"/>
              <w:jc w:val="both"/>
              <w:rPr>
                <w:rFonts w:hint="eastAsia" w:ascii="宋体" w:hAnsi="宋体" w:eastAsia="宋体" w:cs="宋体"/>
                <w:spacing w:val="-6"/>
                <w:sz w:val="21"/>
                <w:szCs w:val="21"/>
                <w:highlight w:val="none"/>
                <w:lang w:val="en-US" w:eastAsia="zh-CN"/>
              </w:rPr>
            </w:pPr>
            <w:r>
              <w:rPr>
                <w:rFonts w:hint="eastAsia" w:ascii="宋体" w:hAnsi="宋体" w:eastAsia="宋体" w:cs="宋体"/>
                <w:spacing w:val="-6"/>
                <w:sz w:val="21"/>
                <w:szCs w:val="21"/>
                <w:highlight w:val="none"/>
                <w:lang w:val="en-US" w:eastAsia="zh-CN"/>
              </w:rPr>
              <w:t>对外门户网站</w:t>
            </w:r>
          </w:p>
        </w:tc>
        <w:tc>
          <w:tcPr>
            <w:tcW w:w="1231" w:type="dxa"/>
            <w:tcBorders>
              <w:bottom w:val="single" w:color="auto" w:sz="4" w:space="0"/>
              <w:tl2br w:val="nil"/>
              <w:tr2bl w:val="nil"/>
            </w:tcBorders>
            <w:noWrap w:val="0"/>
            <w:vAlign w:val="center"/>
          </w:tcPr>
          <w:p>
            <w:pPr>
              <w:spacing w:line="28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营销部</w:t>
            </w:r>
          </w:p>
          <w:p>
            <w:pPr>
              <w:spacing w:line="280" w:lineRule="exact"/>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调控中心</w:t>
            </w:r>
          </w:p>
        </w:tc>
        <w:tc>
          <w:tcPr>
            <w:tcW w:w="2082" w:type="dxa"/>
            <w:tcBorders>
              <w:tl2br w:val="nil"/>
              <w:tr2bl w:val="nil"/>
            </w:tcBorders>
            <w:noWrap w:val="0"/>
            <w:vAlign w:val="center"/>
          </w:tcPr>
          <w:p>
            <w:pPr>
              <w:adjustRightInd w:val="0"/>
              <w:snapToGrid w:val="0"/>
              <w:spacing w:line="280" w:lineRule="exact"/>
              <w:jc w:val="both"/>
              <w:rPr>
                <w:rFonts w:hint="eastAsia" w:ascii="宋体" w:hAnsi="宋体" w:eastAsia="宋体" w:cs="宋体"/>
                <w:spacing w:val="-6"/>
                <w:sz w:val="21"/>
                <w:szCs w:val="21"/>
                <w:highlight w:val="none"/>
                <w:lang w:eastAsia="zh-CN"/>
              </w:rPr>
            </w:pPr>
            <w:r>
              <w:rPr>
                <w:rFonts w:hint="eastAsia" w:ascii="宋体" w:hAnsi="宋体" w:eastAsia="宋体" w:cs="宋体"/>
                <w:spacing w:val="-6"/>
                <w:sz w:val="21"/>
                <w:szCs w:val="21"/>
                <w:highlight w:val="none"/>
              </w:rPr>
              <w:t>自政府相关部门批复后3个工作日内</w:t>
            </w:r>
            <w:r>
              <w:rPr>
                <w:rFonts w:hint="eastAsia" w:ascii="宋体" w:hAnsi="宋体" w:eastAsia="宋体" w:cs="宋体"/>
                <w:spacing w:val="-6"/>
                <w:sz w:val="21"/>
                <w:szCs w:val="21"/>
                <w:highlight w:val="none"/>
                <w:lang w:eastAsia="zh-CN"/>
              </w:rPr>
              <w:t>公开。</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1523" w:hRule="atLeast"/>
          <w:jc w:val="center"/>
        </w:trPr>
        <w:tc>
          <w:tcPr>
            <w:tcW w:w="519"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861" w:type="dxa"/>
            <w:vMerge w:val="restart"/>
            <w:tcBorders>
              <w:top w:val="single" w:color="auto" w:sz="4" w:space="0"/>
              <w:tl2br w:val="nil"/>
              <w:tr2bl w:val="nil"/>
            </w:tcBorders>
            <w:noWrap w:val="0"/>
            <w:vAlign w:val="center"/>
          </w:tcPr>
          <w:p>
            <w:pPr>
              <w:spacing w:line="280" w:lineRule="exact"/>
              <w:jc w:val="center"/>
              <w:rPr>
                <w:rFonts w:hint="eastAsia" w:ascii="宋体" w:hAnsi="宋体" w:eastAsia="宋体" w:cs="宋体"/>
                <w:spacing w:val="-6"/>
                <w:sz w:val="21"/>
                <w:szCs w:val="21"/>
                <w:highlight w:val="none"/>
                <w:lang w:eastAsia="zh-CN"/>
              </w:rPr>
            </w:pPr>
            <w:r>
              <w:rPr>
                <w:rFonts w:hint="eastAsia" w:ascii="宋体" w:hAnsi="宋体" w:eastAsia="宋体" w:cs="宋体"/>
                <w:spacing w:val="-6"/>
                <w:sz w:val="21"/>
                <w:szCs w:val="21"/>
                <w:highlight w:val="none"/>
                <w:lang w:eastAsia="zh-CN"/>
              </w:rPr>
              <w:t>检修</w:t>
            </w:r>
          </w:p>
          <w:p>
            <w:pPr>
              <w:spacing w:line="280" w:lineRule="exact"/>
              <w:jc w:val="center"/>
              <w:rPr>
                <w:rFonts w:hint="eastAsia" w:ascii="宋体" w:hAnsi="宋体" w:eastAsia="宋体" w:cs="宋体"/>
                <w:sz w:val="21"/>
                <w:szCs w:val="21"/>
                <w:highlight w:val="none"/>
              </w:rPr>
            </w:pPr>
            <w:r>
              <w:rPr>
                <w:rFonts w:hint="eastAsia" w:ascii="宋体" w:hAnsi="宋体" w:eastAsia="宋体" w:cs="宋体"/>
                <w:spacing w:val="-6"/>
                <w:sz w:val="21"/>
                <w:szCs w:val="21"/>
                <w:highlight w:val="none"/>
              </w:rPr>
              <w:t>信息</w:t>
            </w:r>
          </w:p>
        </w:tc>
        <w:tc>
          <w:tcPr>
            <w:tcW w:w="2557" w:type="dxa"/>
            <w:gridSpan w:val="2"/>
            <w:tcBorders>
              <w:top w:val="single" w:color="auto" w:sz="4" w:space="0"/>
              <w:tl2br w:val="nil"/>
              <w:tr2bl w:val="nil"/>
            </w:tcBorders>
            <w:noWrap w:val="0"/>
            <w:vAlign w:val="center"/>
          </w:tcPr>
          <w:p>
            <w:pPr>
              <w:adjustRightInd w:val="0"/>
              <w:snapToGrid w:val="0"/>
              <w:spacing w:line="280" w:lineRule="exact"/>
              <w:jc w:val="both"/>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计划检修停电区域、停电线路、停电起止时间等停电信息，具备发布条件的，可将停电影响具体客户信息细化至高压用户和小区</w:t>
            </w:r>
          </w:p>
        </w:tc>
        <w:tc>
          <w:tcPr>
            <w:tcW w:w="1810" w:type="dxa"/>
            <w:vMerge w:val="restart"/>
            <w:tcBorders>
              <w:tl2br w:val="nil"/>
              <w:tr2bl w:val="nil"/>
            </w:tcBorders>
            <w:noWrap w:val="0"/>
            <w:vAlign w:val="center"/>
          </w:tcPr>
          <w:p>
            <w:pPr>
              <w:spacing w:line="280" w:lineRule="exact"/>
              <w:jc w:val="both"/>
              <w:rPr>
                <w:rFonts w:hint="eastAsia" w:ascii="宋体" w:hAnsi="宋体" w:eastAsia="宋体" w:cs="宋体"/>
                <w:spacing w:val="-11"/>
                <w:sz w:val="21"/>
                <w:szCs w:val="21"/>
                <w:highlight w:val="none"/>
                <w:lang w:val="en-US" w:eastAsia="zh-CN"/>
              </w:rPr>
            </w:pPr>
            <w:r>
              <w:rPr>
                <w:rFonts w:hint="eastAsia" w:ascii="宋体" w:hAnsi="宋体" w:eastAsia="宋体" w:cs="宋体"/>
                <w:spacing w:val="-11"/>
                <w:sz w:val="21"/>
                <w:szCs w:val="21"/>
                <w:highlight w:val="none"/>
                <w:lang w:val="en-US" w:eastAsia="zh-CN"/>
              </w:rPr>
              <w:t>对外门户网站；</w:t>
            </w:r>
          </w:p>
          <w:p>
            <w:pPr>
              <w:spacing w:line="280" w:lineRule="exact"/>
              <w:jc w:val="both"/>
              <w:rPr>
                <w:rFonts w:hint="eastAsia" w:ascii="宋体" w:hAnsi="宋体" w:eastAsia="宋体" w:cs="宋体"/>
                <w:spacing w:val="-6"/>
                <w:sz w:val="21"/>
                <w:szCs w:val="21"/>
                <w:highlight w:val="none"/>
                <w:lang w:val="en-US" w:eastAsia="zh-CN"/>
              </w:rPr>
            </w:pPr>
            <w:r>
              <w:rPr>
                <w:rFonts w:hint="eastAsia" w:ascii="宋体" w:hAnsi="宋体" w:eastAsia="宋体" w:cs="宋体"/>
                <w:spacing w:val="-6"/>
                <w:sz w:val="21"/>
                <w:szCs w:val="21"/>
                <w:highlight w:val="none"/>
                <w:lang w:val="en-US" w:eastAsia="zh-CN"/>
              </w:rPr>
              <w:t>网上国网App；</w:t>
            </w:r>
          </w:p>
          <w:p>
            <w:pPr>
              <w:spacing w:line="280" w:lineRule="exact"/>
              <w:jc w:val="both"/>
              <w:rPr>
                <w:rFonts w:hint="eastAsia" w:ascii="宋体" w:hAnsi="宋体" w:eastAsia="宋体" w:cs="宋体"/>
                <w:spacing w:val="0"/>
                <w:sz w:val="21"/>
                <w:szCs w:val="21"/>
                <w:highlight w:val="none"/>
                <w:lang w:val="en-US" w:eastAsia="zh-CN"/>
              </w:rPr>
            </w:pPr>
            <w:r>
              <w:rPr>
                <w:rFonts w:hint="eastAsia" w:ascii="宋体" w:hAnsi="宋体" w:eastAsia="宋体" w:cs="宋体"/>
                <w:spacing w:val="0"/>
                <w:sz w:val="21"/>
                <w:szCs w:val="21"/>
                <w:highlight w:val="none"/>
                <w:lang w:val="en-US" w:eastAsia="zh-CN"/>
              </w:rPr>
              <w:t>微信公众号；</w:t>
            </w:r>
          </w:p>
          <w:p>
            <w:pPr>
              <w:spacing w:line="280" w:lineRule="exact"/>
              <w:jc w:val="both"/>
              <w:rPr>
                <w:rFonts w:hint="eastAsia" w:ascii="宋体" w:hAnsi="宋体" w:eastAsia="宋体" w:cs="宋体"/>
                <w:spacing w:val="0"/>
                <w:sz w:val="21"/>
                <w:szCs w:val="21"/>
                <w:highlight w:val="none"/>
                <w:lang w:val="en-US" w:eastAsia="zh-CN"/>
              </w:rPr>
            </w:pPr>
            <w:r>
              <w:rPr>
                <w:rFonts w:hint="eastAsia" w:ascii="宋体" w:hAnsi="宋体" w:eastAsia="宋体" w:cs="宋体"/>
                <w:spacing w:val="0"/>
                <w:sz w:val="21"/>
                <w:szCs w:val="21"/>
                <w:highlight w:val="none"/>
                <w:lang w:val="en-US" w:eastAsia="zh-CN"/>
              </w:rPr>
              <w:t>新闻媒体；</w:t>
            </w:r>
          </w:p>
          <w:p>
            <w:pPr>
              <w:spacing w:line="280" w:lineRule="exact"/>
              <w:jc w:val="both"/>
              <w:rPr>
                <w:rFonts w:hint="eastAsia" w:ascii="宋体" w:hAnsi="宋体" w:eastAsia="宋体" w:cs="宋体"/>
                <w:spacing w:val="0"/>
                <w:sz w:val="21"/>
                <w:szCs w:val="21"/>
                <w:highlight w:val="none"/>
                <w:lang w:val="en-US" w:eastAsia="zh-CN"/>
              </w:rPr>
            </w:pPr>
            <w:r>
              <w:rPr>
                <w:rFonts w:hint="eastAsia" w:ascii="宋体" w:hAnsi="宋体" w:eastAsia="宋体" w:cs="宋体"/>
                <w:spacing w:val="0"/>
                <w:sz w:val="21"/>
                <w:szCs w:val="21"/>
                <w:highlight w:val="none"/>
                <w:lang w:val="en-US" w:eastAsia="zh-CN"/>
              </w:rPr>
              <w:t>95598网站；</w:t>
            </w:r>
          </w:p>
          <w:p>
            <w:pPr>
              <w:spacing w:line="280" w:lineRule="exact"/>
              <w:jc w:val="both"/>
              <w:rPr>
                <w:rFonts w:hint="eastAsia" w:ascii="宋体" w:hAnsi="宋体" w:eastAsia="宋体" w:cs="宋体"/>
                <w:spacing w:val="-6"/>
                <w:sz w:val="21"/>
                <w:szCs w:val="21"/>
                <w:highlight w:val="none"/>
                <w:lang w:val="en-US" w:eastAsia="zh-CN"/>
              </w:rPr>
            </w:pPr>
            <w:r>
              <w:rPr>
                <w:rFonts w:hint="eastAsia" w:ascii="宋体" w:hAnsi="宋体" w:eastAsia="宋体" w:cs="宋体"/>
                <w:spacing w:val="0"/>
                <w:sz w:val="21"/>
                <w:szCs w:val="21"/>
                <w:highlight w:val="none"/>
                <w:lang w:val="en-US" w:eastAsia="zh-CN"/>
              </w:rPr>
              <w:t>电力短信</w:t>
            </w:r>
          </w:p>
        </w:tc>
        <w:tc>
          <w:tcPr>
            <w:tcW w:w="1231" w:type="dxa"/>
            <w:vMerge w:val="restart"/>
            <w:tcBorders>
              <w:top w:val="single" w:color="auto" w:sz="4" w:space="0"/>
              <w:tl2br w:val="nil"/>
              <w:tr2bl w:val="nil"/>
            </w:tcBorders>
            <w:noWrap w:val="0"/>
            <w:vAlign w:val="center"/>
          </w:tcPr>
          <w:p>
            <w:pPr>
              <w:spacing w:line="280" w:lineRule="exact"/>
              <w:jc w:val="center"/>
              <w:rPr>
                <w:rFonts w:hint="eastAsia" w:ascii="宋体" w:hAnsi="宋体" w:eastAsia="宋体" w:cs="宋体"/>
                <w:spacing w:val="-11"/>
                <w:sz w:val="21"/>
                <w:szCs w:val="21"/>
                <w:highlight w:val="none"/>
                <w:lang w:val="en-US" w:eastAsia="zh-CN"/>
              </w:rPr>
            </w:pPr>
            <w:r>
              <w:rPr>
                <w:rFonts w:hint="eastAsia" w:ascii="宋体" w:hAnsi="宋体" w:eastAsia="宋体" w:cs="宋体"/>
                <w:sz w:val="21"/>
                <w:szCs w:val="21"/>
                <w:highlight w:val="none"/>
                <w:lang w:val="en-US" w:eastAsia="zh-CN"/>
              </w:rPr>
              <w:t>运检</w:t>
            </w:r>
            <w:r>
              <w:rPr>
                <w:rFonts w:hint="eastAsia" w:ascii="宋体" w:hAnsi="宋体" w:eastAsia="宋体" w:cs="宋体"/>
                <w:spacing w:val="-11"/>
                <w:sz w:val="21"/>
                <w:szCs w:val="21"/>
                <w:highlight w:val="none"/>
                <w:lang w:val="en-US" w:eastAsia="zh-CN"/>
              </w:rPr>
              <w:t>部</w:t>
            </w:r>
          </w:p>
          <w:p>
            <w:pPr>
              <w:spacing w:line="280" w:lineRule="exact"/>
              <w:jc w:val="center"/>
              <w:rPr>
                <w:rFonts w:hint="eastAsia" w:ascii="宋体" w:hAnsi="宋体" w:eastAsia="宋体" w:cs="宋体"/>
                <w:spacing w:val="-11"/>
                <w:sz w:val="21"/>
                <w:szCs w:val="21"/>
                <w:highlight w:val="none"/>
                <w:lang w:val="en-US" w:eastAsia="zh-CN"/>
              </w:rPr>
            </w:pPr>
            <w:r>
              <w:rPr>
                <w:rFonts w:hint="eastAsia" w:ascii="宋体" w:hAnsi="宋体" w:eastAsia="宋体" w:cs="宋体"/>
                <w:spacing w:val="-11"/>
                <w:sz w:val="21"/>
                <w:szCs w:val="21"/>
                <w:highlight w:val="none"/>
                <w:lang w:val="en-US" w:eastAsia="zh-CN"/>
              </w:rPr>
              <w:t>调控中心</w:t>
            </w:r>
          </w:p>
          <w:p>
            <w:pPr>
              <w:spacing w:line="280" w:lineRule="exact"/>
              <w:jc w:val="center"/>
              <w:rPr>
                <w:rFonts w:hint="eastAsia" w:ascii="宋体" w:hAnsi="宋体" w:eastAsia="宋体" w:cs="宋体"/>
                <w:spacing w:val="-6"/>
                <w:sz w:val="21"/>
                <w:szCs w:val="21"/>
                <w:highlight w:val="none"/>
                <w:lang w:eastAsia="zh-CN"/>
              </w:rPr>
            </w:pPr>
            <w:r>
              <w:rPr>
                <w:rFonts w:hint="eastAsia" w:ascii="宋体" w:hAnsi="宋体" w:eastAsia="宋体" w:cs="宋体"/>
                <w:spacing w:val="-11"/>
                <w:sz w:val="21"/>
                <w:szCs w:val="21"/>
                <w:highlight w:val="none"/>
                <w:lang w:val="en-US" w:eastAsia="zh-CN"/>
              </w:rPr>
              <w:t>营销部</w:t>
            </w:r>
          </w:p>
        </w:tc>
        <w:tc>
          <w:tcPr>
            <w:tcW w:w="2082" w:type="dxa"/>
            <w:vMerge w:val="restart"/>
            <w:tcBorders>
              <w:tl2br w:val="nil"/>
              <w:tr2bl w:val="nil"/>
            </w:tcBorders>
            <w:noWrap w:val="0"/>
            <w:vAlign w:val="center"/>
          </w:tcPr>
          <w:p>
            <w:pPr>
              <w:spacing w:line="280" w:lineRule="exact"/>
              <w:jc w:val="both"/>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按照国家规定及时</w:t>
            </w:r>
            <w:r>
              <w:rPr>
                <w:rFonts w:hint="eastAsia" w:ascii="宋体" w:hAnsi="宋体" w:eastAsia="宋体" w:cs="宋体"/>
                <w:sz w:val="21"/>
                <w:szCs w:val="21"/>
                <w:highlight w:val="none"/>
                <w:lang w:eastAsia="zh-CN"/>
              </w:rPr>
              <w:t>公开。</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1490" w:hRule="atLeast"/>
          <w:jc w:val="center"/>
        </w:trPr>
        <w:tc>
          <w:tcPr>
            <w:tcW w:w="519"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861" w:type="dxa"/>
            <w:vMerge w:val="continue"/>
            <w:tcBorders>
              <w:tl2br w:val="nil"/>
              <w:tr2bl w:val="nil"/>
            </w:tcBorders>
            <w:noWrap w:val="0"/>
            <w:vAlign w:val="center"/>
          </w:tcPr>
          <w:p>
            <w:pPr>
              <w:spacing w:line="280" w:lineRule="exact"/>
              <w:jc w:val="center"/>
              <w:rPr>
                <w:rFonts w:hint="eastAsia" w:ascii="宋体" w:hAnsi="宋体" w:eastAsia="宋体" w:cs="宋体"/>
                <w:spacing w:val="-6"/>
                <w:sz w:val="21"/>
                <w:szCs w:val="21"/>
                <w:highlight w:val="none"/>
              </w:rPr>
            </w:pPr>
          </w:p>
        </w:tc>
        <w:tc>
          <w:tcPr>
            <w:tcW w:w="2557" w:type="dxa"/>
            <w:gridSpan w:val="2"/>
            <w:tcBorders>
              <w:top w:val="single" w:color="auto" w:sz="4" w:space="0"/>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r>
              <w:rPr>
                <w:rFonts w:hint="eastAsia" w:ascii="宋体" w:hAnsi="宋体" w:eastAsia="宋体" w:cs="宋体"/>
                <w:color w:val="000000"/>
                <w:kern w:val="0"/>
                <w:sz w:val="21"/>
                <w:szCs w:val="21"/>
                <w:highlight w:val="none"/>
                <w:lang w:bidi="ar"/>
              </w:rPr>
              <w:t>临时检修停电区域、停电线路、停电起止时间等停电信息，具备发布条件的，可将停电影响具体客户信息细化至高压用户和小区</w:t>
            </w:r>
          </w:p>
        </w:tc>
        <w:tc>
          <w:tcPr>
            <w:tcW w:w="1810" w:type="dxa"/>
            <w:vMerge w:val="continue"/>
            <w:tcBorders>
              <w:tl2br w:val="nil"/>
              <w:tr2bl w:val="nil"/>
            </w:tcBorders>
            <w:noWrap w:val="0"/>
            <w:vAlign w:val="center"/>
          </w:tcPr>
          <w:p>
            <w:pPr>
              <w:spacing w:line="280" w:lineRule="exact"/>
              <w:jc w:val="both"/>
              <w:rPr>
                <w:rFonts w:hint="eastAsia" w:ascii="宋体" w:hAnsi="宋体" w:eastAsia="宋体" w:cs="宋体"/>
                <w:spacing w:val="-6"/>
                <w:sz w:val="21"/>
                <w:szCs w:val="21"/>
                <w:highlight w:val="none"/>
                <w:lang w:val="en-US" w:eastAsia="zh-CN"/>
              </w:rPr>
            </w:pPr>
          </w:p>
        </w:tc>
        <w:tc>
          <w:tcPr>
            <w:tcW w:w="1231"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lang w:eastAsia="zh-CN"/>
              </w:rPr>
            </w:pPr>
          </w:p>
        </w:tc>
        <w:tc>
          <w:tcPr>
            <w:tcW w:w="2082" w:type="dxa"/>
            <w:vMerge w:val="continue"/>
            <w:tcBorders>
              <w:tl2br w:val="nil"/>
              <w:tr2bl w:val="nil"/>
            </w:tcBorders>
            <w:noWrap w:val="0"/>
            <w:vAlign w:val="center"/>
          </w:tcPr>
          <w:p>
            <w:pPr>
              <w:spacing w:line="280" w:lineRule="exact"/>
              <w:jc w:val="both"/>
              <w:rPr>
                <w:rFonts w:hint="eastAsia" w:ascii="宋体" w:hAnsi="宋体" w:eastAsia="宋体" w:cs="宋体"/>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1573" w:hRule="atLeast"/>
          <w:jc w:val="center"/>
        </w:trPr>
        <w:tc>
          <w:tcPr>
            <w:tcW w:w="519"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861" w:type="dxa"/>
            <w:vMerge w:val="continue"/>
            <w:tcBorders>
              <w:tl2br w:val="nil"/>
              <w:tr2bl w:val="nil"/>
            </w:tcBorders>
            <w:noWrap w:val="0"/>
            <w:vAlign w:val="center"/>
          </w:tcPr>
          <w:p>
            <w:pPr>
              <w:spacing w:line="280" w:lineRule="exact"/>
              <w:jc w:val="center"/>
              <w:rPr>
                <w:rFonts w:hint="eastAsia" w:ascii="宋体" w:hAnsi="宋体" w:eastAsia="宋体" w:cs="宋体"/>
                <w:spacing w:val="-6"/>
                <w:sz w:val="21"/>
                <w:szCs w:val="21"/>
                <w:highlight w:val="none"/>
              </w:rPr>
            </w:pPr>
          </w:p>
        </w:tc>
        <w:tc>
          <w:tcPr>
            <w:tcW w:w="2557" w:type="dxa"/>
            <w:gridSpan w:val="2"/>
            <w:tcBorders>
              <w:top w:val="single" w:color="auto" w:sz="4" w:space="0"/>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r>
              <w:rPr>
                <w:rFonts w:hint="eastAsia" w:ascii="宋体" w:hAnsi="宋体" w:eastAsia="宋体" w:cs="宋体"/>
                <w:color w:val="000000"/>
                <w:kern w:val="0"/>
                <w:sz w:val="21"/>
                <w:szCs w:val="21"/>
                <w:highlight w:val="none"/>
                <w:lang w:bidi="ar"/>
              </w:rPr>
              <w:t>故障停电区域、停电线路、停电起止时间等停电信息，具备发布条件的，可将停电影响具体客户信息细化至高压用户和小区</w:t>
            </w:r>
          </w:p>
        </w:tc>
        <w:tc>
          <w:tcPr>
            <w:tcW w:w="1810" w:type="dxa"/>
            <w:vMerge w:val="continue"/>
            <w:tcBorders>
              <w:tl2br w:val="nil"/>
              <w:tr2bl w:val="nil"/>
            </w:tcBorders>
            <w:noWrap w:val="0"/>
            <w:vAlign w:val="center"/>
          </w:tcPr>
          <w:p>
            <w:pPr>
              <w:spacing w:line="280" w:lineRule="exact"/>
              <w:jc w:val="both"/>
              <w:rPr>
                <w:rFonts w:hint="eastAsia" w:ascii="宋体" w:hAnsi="宋体" w:eastAsia="宋体" w:cs="宋体"/>
                <w:spacing w:val="-6"/>
                <w:sz w:val="21"/>
                <w:szCs w:val="21"/>
                <w:highlight w:val="none"/>
                <w:lang w:val="en-US" w:eastAsia="zh-CN"/>
              </w:rPr>
            </w:pPr>
          </w:p>
        </w:tc>
        <w:tc>
          <w:tcPr>
            <w:tcW w:w="1231"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lang w:eastAsia="zh-CN"/>
              </w:rPr>
            </w:pPr>
          </w:p>
        </w:tc>
        <w:tc>
          <w:tcPr>
            <w:tcW w:w="2082" w:type="dxa"/>
            <w:vMerge w:val="continue"/>
            <w:tcBorders>
              <w:tl2br w:val="nil"/>
              <w:tr2bl w:val="nil"/>
            </w:tcBorders>
            <w:noWrap w:val="0"/>
            <w:vAlign w:val="center"/>
          </w:tcPr>
          <w:p>
            <w:pPr>
              <w:spacing w:line="280" w:lineRule="exact"/>
              <w:jc w:val="both"/>
              <w:rPr>
                <w:rFonts w:hint="eastAsia" w:ascii="宋体" w:hAnsi="宋体" w:eastAsia="宋体" w:cs="宋体"/>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519"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861" w:type="dxa"/>
            <w:vMerge w:val="restart"/>
            <w:tcBorders>
              <w:tl2br w:val="nil"/>
              <w:tr2bl w:val="nil"/>
            </w:tcBorders>
            <w:noWrap w:val="0"/>
            <w:vAlign w:val="center"/>
          </w:tcPr>
          <w:p>
            <w:pPr>
              <w:spacing w:line="280" w:lineRule="exact"/>
              <w:jc w:val="center"/>
              <w:rPr>
                <w:rFonts w:hint="eastAsia" w:ascii="宋体" w:hAnsi="宋体" w:eastAsia="宋体" w:cs="宋体"/>
                <w:spacing w:val="-6"/>
                <w:sz w:val="21"/>
                <w:szCs w:val="21"/>
                <w:highlight w:val="none"/>
              </w:rPr>
            </w:pPr>
            <w:r>
              <w:rPr>
                <w:rFonts w:hint="eastAsia" w:ascii="宋体" w:hAnsi="宋体" w:eastAsia="宋体" w:cs="宋体"/>
                <w:spacing w:val="-6"/>
                <w:sz w:val="21"/>
                <w:szCs w:val="21"/>
                <w:highlight w:val="none"/>
              </w:rPr>
              <w:t>可开放容量相关信息</w:t>
            </w:r>
          </w:p>
        </w:tc>
        <w:tc>
          <w:tcPr>
            <w:tcW w:w="2557" w:type="dxa"/>
            <w:gridSpan w:val="2"/>
            <w:tcBorders>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本地区配电网接入能力</w:t>
            </w:r>
          </w:p>
        </w:tc>
        <w:tc>
          <w:tcPr>
            <w:tcW w:w="1810" w:type="dxa"/>
            <w:vMerge w:val="restart"/>
            <w:tcBorders>
              <w:tl2br w:val="nil"/>
              <w:tr2bl w:val="nil"/>
            </w:tcBorders>
            <w:noWrap w:val="0"/>
            <w:vAlign w:val="center"/>
          </w:tcPr>
          <w:p>
            <w:pPr>
              <w:spacing w:line="280" w:lineRule="exact"/>
              <w:jc w:val="both"/>
              <w:rPr>
                <w:rFonts w:hint="eastAsia" w:ascii="宋体" w:hAnsi="宋体" w:eastAsia="宋体" w:cs="宋体"/>
                <w:spacing w:val="-11"/>
                <w:sz w:val="21"/>
                <w:szCs w:val="21"/>
                <w:highlight w:val="none"/>
                <w:lang w:val="en-US" w:eastAsia="zh-CN"/>
              </w:rPr>
            </w:pPr>
            <w:r>
              <w:rPr>
                <w:rFonts w:hint="eastAsia" w:ascii="宋体" w:hAnsi="宋体" w:eastAsia="宋体" w:cs="宋体"/>
                <w:spacing w:val="-11"/>
                <w:sz w:val="21"/>
                <w:szCs w:val="21"/>
                <w:highlight w:val="none"/>
                <w:lang w:val="en-US" w:eastAsia="zh-CN"/>
              </w:rPr>
              <w:t>对外门户网站；</w:t>
            </w:r>
          </w:p>
          <w:p>
            <w:pPr>
              <w:spacing w:line="280" w:lineRule="exact"/>
              <w:jc w:val="both"/>
              <w:rPr>
                <w:rFonts w:hint="eastAsia" w:ascii="宋体" w:hAnsi="宋体" w:eastAsia="宋体" w:cs="宋体"/>
                <w:spacing w:val="-6"/>
                <w:sz w:val="21"/>
                <w:szCs w:val="21"/>
                <w:highlight w:val="none"/>
                <w:lang w:val="en-US" w:eastAsia="zh-CN"/>
              </w:rPr>
            </w:pPr>
            <w:r>
              <w:rPr>
                <w:rFonts w:hint="eastAsia" w:ascii="宋体" w:hAnsi="宋体" w:eastAsia="宋体" w:cs="宋体"/>
                <w:spacing w:val="-6"/>
                <w:sz w:val="21"/>
                <w:szCs w:val="21"/>
                <w:highlight w:val="none"/>
                <w:lang w:val="en-US" w:eastAsia="zh-CN"/>
              </w:rPr>
              <w:t>供电营业厅</w:t>
            </w:r>
          </w:p>
        </w:tc>
        <w:tc>
          <w:tcPr>
            <w:tcW w:w="1231" w:type="dxa"/>
            <w:vMerge w:val="restart"/>
            <w:tcBorders>
              <w:tl2br w:val="nil"/>
              <w:tr2bl w:val="nil"/>
            </w:tcBorders>
            <w:noWrap w:val="0"/>
            <w:vAlign w:val="center"/>
          </w:tcPr>
          <w:p>
            <w:pPr>
              <w:spacing w:line="280" w:lineRule="exact"/>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运检</w:t>
            </w:r>
            <w:r>
              <w:rPr>
                <w:rFonts w:hint="eastAsia" w:ascii="宋体" w:hAnsi="宋体" w:eastAsia="宋体" w:cs="宋体"/>
                <w:sz w:val="21"/>
                <w:szCs w:val="21"/>
                <w:highlight w:val="none"/>
                <w:lang w:eastAsia="zh-CN"/>
              </w:rPr>
              <w:t>部</w:t>
            </w:r>
          </w:p>
          <w:p>
            <w:pPr>
              <w:spacing w:line="280" w:lineRule="exact"/>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发展部</w:t>
            </w:r>
          </w:p>
        </w:tc>
        <w:tc>
          <w:tcPr>
            <w:tcW w:w="2082" w:type="dxa"/>
            <w:vMerge w:val="restart"/>
            <w:tcBorders>
              <w:tl2br w:val="nil"/>
              <w:tr2bl w:val="nil"/>
            </w:tcBorders>
            <w:noWrap w:val="0"/>
            <w:vAlign w:val="center"/>
          </w:tcPr>
          <w:p>
            <w:pPr>
              <w:spacing w:line="280" w:lineRule="exact"/>
              <w:jc w:val="both"/>
              <w:rPr>
                <w:rFonts w:hint="eastAsia" w:ascii="宋体" w:hAnsi="宋体" w:eastAsia="宋体" w:cs="宋体"/>
                <w:sz w:val="21"/>
                <w:szCs w:val="21"/>
                <w:highlight w:val="none"/>
                <w:lang w:eastAsia="zh-CN"/>
              </w:rPr>
            </w:pPr>
            <w:r>
              <w:rPr>
                <w:rFonts w:hint="eastAsia" w:ascii="宋体" w:hAnsi="宋体" w:eastAsia="宋体" w:cs="宋体"/>
                <w:color w:val="000000"/>
                <w:spacing w:val="-6"/>
                <w:kern w:val="0"/>
                <w:sz w:val="21"/>
                <w:szCs w:val="21"/>
                <w:highlight w:val="none"/>
                <w:lang w:bidi="ar"/>
              </w:rPr>
              <w:t>按季度更新</w:t>
            </w:r>
            <w:r>
              <w:rPr>
                <w:rFonts w:hint="eastAsia" w:ascii="宋体" w:hAnsi="宋体" w:eastAsia="宋体" w:cs="宋体"/>
                <w:color w:val="000000"/>
                <w:spacing w:val="-6"/>
                <w:kern w:val="0"/>
                <w:sz w:val="21"/>
                <w:szCs w:val="21"/>
                <w:highlight w:val="none"/>
                <w:lang w:eastAsia="zh-CN" w:bidi="ar"/>
              </w:rPr>
              <w:t>。</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519"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861" w:type="dxa"/>
            <w:vMerge w:val="continue"/>
            <w:tcBorders>
              <w:tl2br w:val="nil"/>
              <w:tr2bl w:val="nil"/>
            </w:tcBorders>
            <w:noWrap w:val="0"/>
            <w:vAlign w:val="center"/>
          </w:tcPr>
          <w:p>
            <w:pPr>
              <w:spacing w:line="280" w:lineRule="exact"/>
              <w:jc w:val="center"/>
              <w:rPr>
                <w:rFonts w:hint="eastAsia" w:ascii="宋体" w:hAnsi="宋体" w:eastAsia="宋体" w:cs="宋体"/>
                <w:spacing w:val="-6"/>
                <w:sz w:val="21"/>
                <w:szCs w:val="21"/>
                <w:highlight w:val="none"/>
              </w:rPr>
            </w:pPr>
          </w:p>
        </w:tc>
        <w:tc>
          <w:tcPr>
            <w:tcW w:w="2557" w:type="dxa"/>
            <w:gridSpan w:val="2"/>
            <w:tcBorders>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容量受限情况</w:t>
            </w:r>
          </w:p>
        </w:tc>
        <w:tc>
          <w:tcPr>
            <w:tcW w:w="1810" w:type="dxa"/>
            <w:vMerge w:val="continue"/>
            <w:tcBorders>
              <w:tl2br w:val="nil"/>
              <w:tr2bl w:val="nil"/>
            </w:tcBorders>
            <w:noWrap w:val="0"/>
            <w:vAlign w:val="center"/>
          </w:tcPr>
          <w:p>
            <w:pPr>
              <w:spacing w:line="280" w:lineRule="exact"/>
              <w:jc w:val="both"/>
              <w:rPr>
                <w:rFonts w:hint="eastAsia" w:ascii="宋体" w:hAnsi="宋体" w:eastAsia="宋体" w:cs="宋体"/>
                <w:spacing w:val="-6"/>
                <w:sz w:val="21"/>
                <w:szCs w:val="21"/>
                <w:highlight w:val="none"/>
                <w:lang w:val="en-US" w:eastAsia="zh-CN"/>
              </w:rPr>
            </w:pPr>
          </w:p>
        </w:tc>
        <w:tc>
          <w:tcPr>
            <w:tcW w:w="1231"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lang w:eastAsia="zh-CN"/>
              </w:rPr>
            </w:pPr>
          </w:p>
        </w:tc>
        <w:tc>
          <w:tcPr>
            <w:tcW w:w="2082" w:type="dxa"/>
            <w:vMerge w:val="continue"/>
            <w:tcBorders>
              <w:tl2br w:val="nil"/>
              <w:tr2bl w:val="nil"/>
            </w:tcBorders>
            <w:noWrap w:val="0"/>
            <w:vAlign w:val="center"/>
          </w:tcPr>
          <w:p>
            <w:pPr>
              <w:spacing w:line="280" w:lineRule="exact"/>
              <w:jc w:val="both"/>
              <w:rPr>
                <w:rFonts w:hint="eastAsia" w:ascii="宋体" w:hAnsi="宋体" w:eastAsia="宋体" w:cs="宋体"/>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519"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861" w:type="dxa"/>
            <w:vMerge w:val="restart"/>
            <w:tcBorders>
              <w:tl2br w:val="nil"/>
              <w:tr2bl w:val="nil"/>
            </w:tcBorders>
            <w:noWrap w:val="0"/>
            <w:vAlign w:val="center"/>
          </w:tcPr>
          <w:p>
            <w:pPr>
              <w:spacing w:line="280" w:lineRule="exact"/>
              <w:jc w:val="center"/>
              <w:rPr>
                <w:rFonts w:hint="eastAsia" w:ascii="宋体" w:hAnsi="宋体" w:eastAsia="宋体" w:cs="宋体"/>
                <w:spacing w:val="-6"/>
                <w:sz w:val="21"/>
                <w:szCs w:val="21"/>
                <w:highlight w:val="none"/>
              </w:rPr>
            </w:pPr>
            <w:r>
              <w:rPr>
                <w:rFonts w:hint="eastAsia" w:ascii="宋体" w:hAnsi="宋体" w:eastAsia="宋体" w:cs="宋体"/>
                <w:spacing w:val="-6"/>
                <w:sz w:val="21"/>
                <w:szCs w:val="21"/>
                <w:highlight w:val="none"/>
              </w:rPr>
              <w:t>用户受电工程市场公平开放相关信息</w:t>
            </w:r>
          </w:p>
        </w:tc>
        <w:tc>
          <w:tcPr>
            <w:tcW w:w="2557" w:type="dxa"/>
            <w:gridSpan w:val="2"/>
            <w:tcBorders>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优化营商环境政策</w:t>
            </w:r>
          </w:p>
        </w:tc>
        <w:tc>
          <w:tcPr>
            <w:tcW w:w="1810" w:type="dxa"/>
            <w:vMerge w:val="restart"/>
            <w:tcBorders>
              <w:tl2br w:val="nil"/>
              <w:tr2bl w:val="nil"/>
            </w:tcBorders>
            <w:noWrap w:val="0"/>
            <w:vAlign w:val="center"/>
          </w:tcPr>
          <w:p>
            <w:pPr>
              <w:spacing w:line="280" w:lineRule="exact"/>
              <w:jc w:val="both"/>
              <w:rPr>
                <w:rFonts w:hint="eastAsia" w:ascii="宋体" w:hAnsi="宋体" w:eastAsia="宋体" w:cs="宋体"/>
                <w:spacing w:val="-11"/>
                <w:sz w:val="21"/>
                <w:szCs w:val="21"/>
                <w:highlight w:val="none"/>
                <w:lang w:val="en-US" w:eastAsia="zh-CN"/>
              </w:rPr>
            </w:pPr>
            <w:r>
              <w:rPr>
                <w:rFonts w:hint="eastAsia" w:ascii="宋体" w:hAnsi="宋体" w:eastAsia="宋体" w:cs="宋体"/>
                <w:spacing w:val="-11"/>
                <w:sz w:val="21"/>
                <w:szCs w:val="21"/>
                <w:highlight w:val="none"/>
                <w:lang w:val="en-US" w:eastAsia="zh-CN"/>
              </w:rPr>
              <w:t>对外门户网站；</w:t>
            </w:r>
          </w:p>
          <w:p>
            <w:pPr>
              <w:spacing w:line="280" w:lineRule="exact"/>
              <w:jc w:val="both"/>
              <w:rPr>
                <w:rFonts w:hint="eastAsia" w:ascii="宋体" w:hAnsi="宋体" w:eastAsia="宋体" w:cs="宋体"/>
                <w:spacing w:val="-6"/>
                <w:sz w:val="21"/>
                <w:szCs w:val="21"/>
                <w:highlight w:val="none"/>
                <w:lang w:val="en-US" w:eastAsia="zh-CN"/>
              </w:rPr>
            </w:pPr>
            <w:r>
              <w:rPr>
                <w:rFonts w:hint="eastAsia" w:ascii="宋体" w:hAnsi="宋体" w:eastAsia="宋体" w:cs="宋体"/>
                <w:spacing w:val="-6"/>
                <w:sz w:val="21"/>
                <w:szCs w:val="21"/>
                <w:highlight w:val="none"/>
                <w:lang w:val="en-US" w:eastAsia="zh-CN"/>
              </w:rPr>
              <w:t>网上国网App；</w:t>
            </w:r>
          </w:p>
          <w:p>
            <w:pPr>
              <w:spacing w:line="280" w:lineRule="exact"/>
              <w:jc w:val="both"/>
              <w:rPr>
                <w:rFonts w:hint="eastAsia" w:ascii="宋体" w:hAnsi="宋体" w:eastAsia="宋体" w:cs="宋体"/>
                <w:spacing w:val="-6"/>
                <w:sz w:val="21"/>
                <w:szCs w:val="21"/>
                <w:highlight w:val="none"/>
                <w:lang w:val="en-US" w:eastAsia="zh-CN"/>
              </w:rPr>
            </w:pPr>
            <w:r>
              <w:rPr>
                <w:rFonts w:hint="eastAsia" w:ascii="宋体" w:hAnsi="宋体" w:eastAsia="宋体" w:cs="宋体"/>
                <w:spacing w:val="-6"/>
                <w:sz w:val="21"/>
                <w:szCs w:val="21"/>
                <w:highlight w:val="none"/>
                <w:lang w:val="en-US" w:eastAsia="zh-CN"/>
              </w:rPr>
              <w:t>95598网站；</w:t>
            </w:r>
          </w:p>
          <w:p>
            <w:pPr>
              <w:spacing w:line="280" w:lineRule="exact"/>
              <w:jc w:val="both"/>
              <w:rPr>
                <w:rFonts w:hint="eastAsia" w:ascii="宋体" w:hAnsi="宋体" w:eastAsia="宋体" w:cs="宋体"/>
                <w:spacing w:val="-6"/>
                <w:sz w:val="21"/>
                <w:szCs w:val="21"/>
                <w:highlight w:val="none"/>
                <w:lang w:val="en-US" w:eastAsia="zh-CN"/>
              </w:rPr>
            </w:pPr>
            <w:r>
              <w:rPr>
                <w:rFonts w:hint="eastAsia" w:ascii="宋体" w:hAnsi="宋体" w:eastAsia="宋体" w:cs="宋体"/>
                <w:spacing w:val="-6"/>
                <w:sz w:val="21"/>
                <w:szCs w:val="21"/>
                <w:highlight w:val="none"/>
                <w:lang w:val="en-US" w:eastAsia="zh-CN"/>
              </w:rPr>
              <w:t>供电营业厅</w:t>
            </w:r>
          </w:p>
        </w:tc>
        <w:tc>
          <w:tcPr>
            <w:tcW w:w="1231" w:type="dxa"/>
            <w:vMerge w:val="restart"/>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营销部</w:t>
            </w:r>
          </w:p>
        </w:tc>
        <w:tc>
          <w:tcPr>
            <w:tcW w:w="2082" w:type="dxa"/>
            <w:vMerge w:val="restart"/>
            <w:tcBorders>
              <w:tl2br w:val="nil"/>
              <w:tr2bl w:val="nil"/>
            </w:tcBorders>
            <w:noWrap w:val="0"/>
            <w:vAlign w:val="center"/>
          </w:tcPr>
          <w:p>
            <w:pPr>
              <w:spacing w:line="280" w:lineRule="exact"/>
              <w:jc w:val="both"/>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自发生变化之日起10个工作</w:t>
            </w:r>
            <w:r>
              <w:rPr>
                <w:rFonts w:hint="eastAsia" w:ascii="宋体" w:hAnsi="宋体" w:eastAsia="宋体" w:cs="宋体"/>
                <w:sz w:val="21"/>
                <w:szCs w:val="21"/>
                <w:highlight w:val="none"/>
                <w:lang w:eastAsia="zh-CN"/>
              </w:rPr>
              <w:t>日</w:t>
            </w:r>
            <w:r>
              <w:rPr>
                <w:rFonts w:hint="eastAsia" w:ascii="宋体" w:hAnsi="宋体" w:eastAsia="宋体" w:cs="宋体"/>
                <w:sz w:val="21"/>
                <w:szCs w:val="21"/>
                <w:highlight w:val="none"/>
              </w:rPr>
              <w:t>内更新</w:t>
            </w:r>
            <w:r>
              <w:rPr>
                <w:rFonts w:hint="eastAsia" w:ascii="宋体" w:hAnsi="宋体" w:eastAsia="宋体" w:cs="宋体"/>
                <w:sz w:val="21"/>
                <w:szCs w:val="21"/>
                <w:highlight w:val="none"/>
                <w:lang w:eastAsia="zh-CN"/>
              </w:rPr>
              <w:t>。</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519"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861"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557" w:type="dxa"/>
            <w:gridSpan w:val="2"/>
            <w:tcBorders>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受电工程验收标准</w:t>
            </w:r>
          </w:p>
        </w:tc>
        <w:tc>
          <w:tcPr>
            <w:tcW w:w="1810" w:type="dxa"/>
            <w:vMerge w:val="continue"/>
            <w:tcBorders>
              <w:tl2br w:val="nil"/>
              <w:tr2bl w:val="nil"/>
            </w:tcBorders>
            <w:noWrap w:val="0"/>
            <w:vAlign w:val="center"/>
          </w:tcPr>
          <w:p>
            <w:pPr>
              <w:spacing w:line="280" w:lineRule="exact"/>
              <w:jc w:val="both"/>
              <w:rPr>
                <w:rFonts w:hint="eastAsia" w:ascii="宋体" w:hAnsi="宋体" w:eastAsia="宋体" w:cs="宋体"/>
                <w:spacing w:val="-6"/>
                <w:sz w:val="21"/>
                <w:szCs w:val="21"/>
                <w:highlight w:val="none"/>
                <w:lang w:val="en-US" w:eastAsia="zh-CN"/>
              </w:rPr>
            </w:pPr>
          </w:p>
        </w:tc>
        <w:tc>
          <w:tcPr>
            <w:tcW w:w="1231"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082" w:type="dxa"/>
            <w:vMerge w:val="continue"/>
            <w:tcBorders>
              <w:tl2br w:val="nil"/>
              <w:tr2bl w:val="nil"/>
            </w:tcBorders>
            <w:noWrap w:val="0"/>
            <w:vAlign w:val="center"/>
          </w:tcPr>
          <w:p>
            <w:pPr>
              <w:spacing w:line="280" w:lineRule="exact"/>
              <w:jc w:val="both"/>
              <w:rPr>
                <w:rFonts w:hint="eastAsia" w:ascii="宋体" w:hAnsi="宋体" w:eastAsia="宋体" w:cs="宋体"/>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519"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861"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557" w:type="dxa"/>
            <w:gridSpan w:val="2"/>
            <w:tcBorders>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《用户受电工程“三指定”行为认定指引》</w:t>
            </w:r>
          </w:p>
        </w:tc>
        <w:tc>
          <w:tcPr>
            <w:tcW w:w="1810" w:type="dxa"/>
            <w:vMerge w:val="continue"/>
            <w:tcBorders>
              <w:tl2br w:val="nil"/>
              <w:tr2bl w:val="nil"/>
            </w:tcBorders>
            <w:noWrap w:val="0"/>
            <w:vAlign w:val="center"/>
          </w:tcPr>
          <w:p>
            <w:pPr>
              <w:spacing w:line="280" w:lineRule="exact"/>
              <w:jc w:val="both"/>
              <w:rPr>
                <w:rFonts w:hint="eastAsia" w:ascii="宋体" w:hAnsi="宋体" w:eastAsia="宋体" w:cs="宋体"/>
                <w:spacing w:val="-6"/>
                <w:sz w:val="21"/>
                <w:szCs w:val="21"/>
                <w:highlight w:val="none"/>
                <w:lang w:val="en-US" w:eastAsia="zh-CN"/>
              </w:rPr>
            </w:pPr>
          </w:p>
        </w:tc>
        <w:tc>
          <w:tcPr>
            <w:tcW w:w="1231"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082" w:type="dxa"/>
            <w:vMerge w:val="continue"/>
            <w:tcBorders>
              <w:tl2br w:val="nil"/>
              <w:tr2bl w:val="nil"/>
            </w:tcBorders>
            <w:noWrap w:val="0"/>
            <w:vAlign w:val="center"/>
          </w:tcPr>
          <w:p>
            <w:pPr>
              <w:spacing w:line="280" w:lineRule="exact"/>
              <w:jc w:val="both"/>
              <w:rPr>
                <w:rFonts w:hint="eastAsia" w:ascii="宋体" w:hAnsi="宋体" w:eastAsia="宋体" w:cs="宋体"/>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519"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861"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557" w:type="dxa"/>
            <w:gridSpan w:val="2"/>
            <w:tcBorders>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政府部门提供的受电工程设计及施工单位资质信息查询渠道</w:t>
            </w:r>
          </w:p>
        </w:tc>
        <w:tc>
          <w:tcPr>
            <w:tcW w:w="1810" w:type="dxa"/>
            <w:vMerge w:val="continue"/>
            <w:tcBorders>
              <w:tl2br w:val="nil"/>
              <w:tr2bl w:val="nil"/>
            </w:tcBorders>
            <w:noWrap w:val="0"/>
            <w:vAlign w:val="center"/>
          </w:tcPr>
          <w:p>
            <w:pPr>
              <w:spacing w:line="280" w:lineRule="exact"/>
              <w:jc w:val="both"/>
              <w:rPr>
                <w:rFonts w:hint="eastAsia" w:ascii="宋体" w:hAnsi="宋体" w:eastAsia="宋体" w:cs="宋体"/>
                <w:spacing w:val="-6"/>
                <w:sz w:val="21"/>
                <w:szCs w:val="21"/>
                <w:highlight w:val="none"/>
                <w:lang w:val="en-US" w:eastAsia="zh-CN"/>
              </w:rPr>
            </w:pPr>
          </w:p>
        </w:tc>
        <w:tc>
          <w:tcPr>
            <w:tcW w:w="1231"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082" w:type="dxa"/>
            <w:vMerge w:val="continue"/>
            <w:tcBorders>
              <w:tl2br w:val="nil"/>
              <w:tr2bl w:val="nil"/>
            </w:tcBorders>
            <w:noWrap w:val="0"/>
            <w:vAlign w:val="center"/>
          </w:tcPr>
          <w:p>
            <w:pPr>
              <w:spacing w:line="280" w:lineRule="exact"/>
              <w:jc w:val="both"/>
              <w:rPr>
                <w:rFonts w:hint="eastAsia" w:ascii="宋体" w:hAnsi="宋体" w:eastAsia="宋体" w:cs="宋体"/>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519"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861" w:type="dxa"/>
            <w:vMerge w:val="restart"/>
            <w:tcBorders>
              <w:tl2br w:val="nil"/>
              <w:tr2bl w:val="nil"/>
            </w:tcBorders>
            <w:noWrap w:val="0"/>
            <w:vAlign w:val="center"/>
          </w:tcPr>
          <w:p>
            <w:pPr>
              <w:adjustRightInd w:val="0"/>
              <w:snapToGrid w:val="0"/>
              <w:spacing w:line="280" w:lineRule="exact"/>
              <w:jc w:val="center"/>
              <w:rPr>
                <w:rFonts w:hint="eastAsia" w:ascii="宋体" w:hAnsi="宋体" w:eastAsia="宋体" w:cs="宋体"/>
                <w:sz w:val="21"/>
                <w:szCs w:val="21"/>
                <w:highlight w:val="none"/>
              </w:rPr>
            </w:pPr>
            <w:r>
              <w:rPr>
                <w:rFonts w:hint="eastAsia" w:ascii="宋体" w:hAnsi="宋体" w:eastAsia="宋体" w:cs="宋体"/>
                <w:spacing w:val="-6"/>
                <w:sz w:val="21"/>
                <w:szCs w:val="21"/>
                <w:highlight w:val="none"/>
              </w:rPr>
              <w:t>履行社会责任情况</w:t>
            </w:r>
          </w:p>
        </w:tc>
        <w:tc>
          <w:tcPr>
            <w:tcW w:w="2557" w:type="dxa"/>
            <w:gridSpan w:val="2"/>
            <w:tcBorders>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社会责任纪事</w:t>
            </w:r>
          </w:p>
        </w:tc>
        <w:tc>
          <w:tcPr>
            <w:tcW w:w="1810" w:type="dxa"/>
            <w:vMerge w:val="restart"/>
            <w:tcBorders>
              <w:tl2br w:val="nil"/>
              <w:tr2bl w:val="nil"/>
            </w:tcBorders>
            <w:noWrap w:val="0"/>
            <w:vAlign w:val="center"/>
          </w:tcPr>
          <w:p>
            <w:pPr>
              <w:spacing w:line="280" w:lineRule="exact"/>
              <w:jc w:val="both"/>
              <w:rPr>
                <w:rFonts w:hint="eastAsia" w:ascii="宋体" w:hAnsi="宋体" w:eastAsia="宋体" w:cs="宋体"/>
                <w:spacing w:val="-6"/>
                <w:sz w:val="21"/>
                <w:szCs w:val="21"/>
                <w:highlight w:val="none"/>
                <w:lang w:val="en-US" w:eastAsia="zh-CN"/>
              </w:rPr>
            </w:pPr>
            <w:r>
              <w:rPr>
                <w:rFonts w:hint="eastAsia" w:ascii="宋体" w:hAnsi="宋体" w:eastAsia="宋体" w:cs="宋体"/>
                <w:spacing w:val="-6"/>
                <w:sz w:val="21"/>
                <w:szCs w:val="21"/>
                <w:highlight w:val="none"/>
                <w:lang w:val="en-US" w:eastAsia="zh-CN"/>
              </w:rPr>
              <w:t>对外门户网站</w:t>
            </w:r>
          </w:p>
        </w:tc>
        <w:tc>
          <w:tcPr>
            <w:tcW w:w="1231" w:type="dxa"/>
            <w:vMerge w:val="restart"/>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党建</w:t>
            </w:r>
            <w:r>
              <w:rPr>
                <w:rFonts w:hint="eastAsia" w:ascii="宋体" w:hAnsi="宋体" w:eastAsia="宋体" w:cs="宋体"/>
                <w:sz w:val="21"/>
                <w:szCs w:val="21"/>
                <w:highlight w:val="none"/>
              </w:rPr>
              <w:t>部</w:t>
            </w:r>
          </w:p>
        </w:tc>
        <w:tc>
          <w:tcPr>
            <w:tcW w:w="2082" w:type="dxa"/>
            <w:tcBorders>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每年6月底</w:t>
            </w:r>
            <w:r>
              <w:rPr>
                <w:rFonts w:hint="eastAsia" w:ascii="宋体" w:hAnsi="宋体" w:eastAsia="宋体" w:cs="宋体"/>
                <w:sz w:val="21"/>
                <w:szCs w:val="21"/>
                <w:highlight w:val="none"/>
                <w:lang w:eastAsia="zh-CN"/>
              </w:rPr>
              <w:t>更新。</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519"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861"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557" w:type="dxa"/>
            <w:gridSpan w:val="2"/>
            <w:tcBorders>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社会责任案例</w:t>
            </w:r>
          </w:p>
        </w:tc>
        <w:tc>
          <w:tcPr>
            <w:tcW w:w="1810" w:type="dxa"/>
            <w:vMerge w:val="continue"/>
            <w:tcBorders>
              <w:tl2br w:val="nil"/>
              <w:tr2bl w:val="nil"/>
            </w:tcBorders>
            <w:noWrap w:val="0"/>
            <w:vAlign w:val="center"/>
          </w:tcPr>
          <w:p>
            <w:pPr>
              <w:spacing w:line="280" w:lineRule="exact"/>
              <w:jc w:val="both"/>
              <w:rPr>
                <w:rFonts w:hint="eastAsia" w:ascii="宋体" w:hAnsi="宋体" w:eastAsia="宋体" w:cs="宋体"/>
                <w:sz w:val="21"/>
                <w:szCs w:val="21"/>
                <w:highlight w:val="none"/>
              </w:rPr>
            </w:pPr>
          </w:p>
        </w:tc>
        <w:tc>
          <w:tcPr>
            <w:tcW w:w="1231"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082" w:type="dxa"/>
            <w:tcBorders>
              <w:tl2br w:val="nil"/>
              <w:tr2bl w:val="nil"/>
            </w:tcBorders>
            <w:noWrap w:val="0"/>
            <w:vAlign w:val="center"/>
          </w:tcPr>
          <w:p>
            <w:pPr>
              <w:spacing w:line="280" w:lineRule="exact"/>
              <w:jc w:val="both"/>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每年3月底</w:t>
            </w:r>
            <w:r>
              <w:rPr>
                <w:rFonts w:hint="eastAsia" w:ascii="宋体" w:hAnsi="宋体" w:eastAsia="宋体" w:cs="宋体"/>
                <w:sz w:val="21"/>
                <w:szCs w:val="21"/>
                <w:highlight w:val="none"/>
                <w:lang w:eastAsia="zh-CN"/>
              </w:rPr>
              <w:t>更新。</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519"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861"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557" w:type="dxa"/>
            <w:gridSpan w:val="2"/>
            <w:tcBorders>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社会责任管理手册</w:t>
            </w:r>
          </w:p>
        </w:tc>
        <w:tc>
          <w:tcPr>
            <w:tcW w:w="1810" w:type="dxa"/>
            <w:vMerge w:val="continue"/>
            <w:tcBorders>
              <w:tl2br w:val="nil"/>
              <w:tr2bl w:val="nil"/>
            </w:tcBorders>
            <w:noWrap w:val="0"/>
            <w:vAlign w:val="center"/>
          </w:tcPr>
          <w:p>
            <w:pPr>
              <w:spacing w:line="280" w:lineRule="exact"/>
              <w:jc w:val="both"/>
              <w:rPr>
                <w:rFonts w:hint="eastAsia" w:ascii="宋体" w:hAnsi="宋体" w:eastAsia="宋体" w:cs="宋体"/>
                <w:sz w:val="21"/>
                <w:szCs w:val="21"/>
                <w:highlight w:val="none"/>
              </w:rPr>
            </w:pPr>
          </w:p>
        </w:tc>
        <w:tc>
          <w:tcPr>
            <w:tcW w:w="1231"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082" w:type="dxa"/>
            <w:tcBorders>
              <w:tl2br w:val="nil"/>
              <w:tr2bl w:val="nil"/>
            </w:tcBorders>
            <w:noWrap w:val="0"/>
            <w:vAlign w:val="center"/>
          </w:tcPr>
          <w:p>
            <w:pPr>
              <w:spacing w:line="280" w:lineRule="exact"/>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根据具体情况确定</w:t>
            </w:r>
            <w:r>
              <w:rPr>
                <w:rFonts w:hint="eastAsia" w:ascii="宋体" w:hAnsi="宋体" w:eastAsia="宋体" w:cs="宋体"/>
                <w:sz w:val="21"/>
                <w:szCs w:val="21"/>
                <w:highlight w:val="none"/>
                <w:lang w:eastAsia="zh-CN"/>
              </w:rPr>
              <w:t>。</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519"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861"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557" w:type="dxa"/>
            <w:gridSpan w:val="2"/>
            <w:tcBorders>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公益扶贫情况</w:t>
            </w:r>
          </w:p>
        </w:tc>
        <w:tc>
          <w:tcPr>
            <w:tcW w:w="1810" w:type="dxa"/>
            <w:vMerge w:val="continue"/>
            <w:tcBorders>
              <w:tl2br w:val="nil"/>
              <w:tr2bl w:val="nil"/>
            </w:tcBorders>
            <w:noWrap w:val="0"/>
            <w:vAlign w:val="center"/>
          </w:tcPr>
          <w:p>
            <w:pPr>
              <w:spacing w:line="280" w:lineRule="exact"/>
              <w:jc w:val="both"/>
              <w:rPr>
                <w:rFonts w:hint="eastAsia" w:ascii="宋体" w:hAnsi="宋体" w:eastAsia="宋体" w:cs="宋体"/>
                <w:sz w:val="21"/>
                <w:szCs w:val="21"/>
                <w:highlight w:val="none"/>
              </w:rPr>
            </w:pPr>
          </w:p>
        </w:tc>
        <w:tc>
          <w:tcPr>
            <w:tcW w:w="1231"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082" w:type="dxa"/>
            <w:tcBorders>
              <w:tl2br w:val="nil"/>
              <w:tr2bl w:val="nil"/>
            </w:tcBorders>
            <w:noWrap w:val="0"/>
            <w:vAlign w:val="center"/>
          </w:tcPr>
          <w:p>
            <w:pPr>
              <w:spacing w:line="280" w:lineRule="exact"/>
              <w:jc w:val="both"/>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每年6月底</w:t>
            </w:r>
            <w:r>
              <w:rPr>
                <w:rFonts w:hint="eastAsia" w:ascii="宋体" w:hAnsi="宋体" w:eastAsia="宋体" w:cs="宋体"/>
                <w:sz w:val="21"/>
                <w:szCs w:val="21"/>
                <w:highlight w:val="none"/>
                <w:lang w:eastAsia="zh-CN"/>
              </w:rPr>
              <w:t>更新。</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519"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861" w:type="dxa"/>
            <w:vMerge w:val="restart"/>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r>
              <w:rPr>
                <w:rFonts w:hint="eastAsia" w:ascii="宋体" w:hAnsi="宋体" w:eastAsia="宋体" w:cs="宋体"/>
                <w:spacing w:val="-6"/>
                <w:sz w:val="21"/>
                <w:szCs w:val="21"/>
                <w:highlight w:val="none"/>
              </w:rPr>
              <w:t>供电服务承诺以及供电服务热线</w:t>
            </w:r>
          </w:p>
        </w:tc>
        <w:tc>
          <w:tcPr>
            <w:tcW w:w="2557" w:type="dxa"/>
            <w:gridSpan w:val="2"/>
            <w:tcBorders>
              <w:tl2br w:val="nil"/>
              <w:tr2bl w:val="nil"/>
            </w:tcBorders>
            <w:noWrap w:val="0"/>
            <w:vAlign w:val="center"/>
          </w:tcPr>
          <w:p>
            <w:pPr>
              <w:spacing w:line="280" w:lineRule="exact"/>
              <w:jc w:val="both"/>
              <w:rPr>
                <w:rFonts w:hint="eastAsia" w:ascii="宋体" w:hAnsi="宋体" w:eastAsia="宋体" w:cs="宋体"/>
                <w:spacing w:val="-6"/>
                <w:sz w:val="21"/>
                <w:szCs w:val="21"/>
                <w:highlight w:val="none"/>
              </w:rPr>
            </w:pPr>
            <w:r>
              <w:rPr>
                <w:rFonts w:hint="eastAsia" w:ascii="宋体" w:hAnsi="宋体" w:eastAsia="宋体" w:cs="宋体"/>
                <w:spacing w:val="-6"/>
                <w:sz w:val="21"/>
                <w:szCs w:val="21"/>
                <w:highlight w:val="none"/>
              </w:rPr>
              <w:t>国家电网有限公司供电服务“十项承诺”</w:t>
            </w:r>
          </w:p>
        </w:tc>
        <w:tc>
          <w:tcPr>
            <w:tcW w:w="1810" w:type="dxa"/>
            <w:vMerge w:val="restart"/>
            <w:tcBorders>
              <w:tl2br w:val="nil"/>
              <w:tr2bl w:val="nil"/>
            </w:tcBorders>
            <w:noWrap w:val="0"/>
            <w:vAlign w:val="center"/>
          </w:tcPr>
          <w:p>
            <w:pPr>
              <w:spacing w:line="280" w:lineRule="exact"/>
              <w:jc w:val="both"/>
              <w:rPr>
                <w:rFonts w:hint="eastAsia" w:ascii="宋体" w:hAnsi="宋体" w:eastAsia="宋体" w:cs="宋体"/>
                <w:sz w:val="21"/>
                <w:szCs w:val="21"/>
                <w:highlight w:val="none"/>
              </w:rPr>
            </w:pPr>
            <w:r>
              <w:rPr>
                <w:rFonts w:hint="eastAsia" w:ascii="宋体" w:hAnsi="宋体" w:eastAsia="宋体" w:cs="宋体"/>
                <w:spacing w:val="-6"/>
                <w:sz w:val="21"/>
                <w:szCs w:val="21"/>
                <w:highlight w:val="none"/>
              </w:rPr>
              <w:t>对外门户网站；网上国网App；95598网站；供电营业厅</w:t>
            </w:r>
          </w:p>
        </w:tc>
        <w:tc>
          <w:tcPr>
            <w:tcW w:w="1231" w:type="dxa"/>
            <w:vMerge w:val="restart"/>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营销部</w:t>
            </w:r>
          </w:p>
        </w:tc>
        <w:tc>
          <w:tcPr>
            <w:tcW w:w="2082" w:type="dxa"/>
            <w:vMerge w:val="restart"/>
            <w:tcBorders>
              <w:tl2br w:val="nil"/>
              <w:tr2bl w:val="nil"/>
            </w:tcBorders>
            <w:noWrap w:val="0"/>
            <w:vAlign w:val="center"/>
          </w:tcPr>
          <w:p>
            <w:pPr>
              <w:spacing w:line="280" w:lineRule="exact"/>
              <w:jc w:val="both"/>
              <w:rPr>
                <w:rFonts w:hint="eastAsia" w:ascii="宋体" w:hAnsi="宋体" w:eastAsia="宋体" w:cs="宋体"/>
                <w:sz w:val="21"/>
                <w:szCs w:val="21"/>
                <w:highlight w:val="none"/>
                <w:lang w:eastAsia="zh-CN"/>
              </w:rPr>
            </w:pPr>
            <w:r>
              <w:rPr>
                <w:rFonts w:hint="eastAsia" w:ascii="宋体" w:hAnsi="宋体" w:eastAsia="宋体" w:cs="宋体"/>
                <w:spacing w:val="-6"/>
                <w:sz w:val="21"/>
                <w:szCs w:val="21"/>
                <w:highlight w:val="none"/>
              </w:rPr>
              <w:t>自发生变化之日起10个工作</w:t>
            </w:r>
            <w:r>
              <w:rPr>
                <w:rFonts w:hint="eastAsia" w:ascii="宋体" w:hAnsi="宋体" w:eastAsia="宋体" w:cs="宋体"/>
                <w:spacing w:val="-6"/>
                <w:sz w:val="21"/>
                <w:szCs w:val="21"/>
                <w:highlight w:val="none"/>
                <w:lang w:eastAsia="zh-CN"/>
              </w:rPr>
              <w:t>日</w:t>
            </w:r>
            <w:r>
              <w:rPr>
                <w:rFonts w:hint="eastAsia" w:ascii="宋体" w:hAnsi="宋体" w:eastAsia="宋体" w:cs="宋体"/>
                <w:spacing w:val="-6"/>
                <w:sz w:val="21"/>
                <w:szCs w:val="21"/>
                <w:highlight w:val="none"/>
              </w:rPr>
              <w:t>内更新</w:t>
            </w:r>
            <w:r>
              <w:rPr>
                <w:rFonts w:hint="eastAsia" w:ascii="宋体" w:hAnsi="宋体" w:eastAsia="宋体" w:cs="宋体"/>
                <w:spacing w:val="-6"/>
                <w:sz w:val="21"/>
                <w:szCs w:val="21"/>
                <w:highlight w:val="none"/>
                <w:lang w:eastAsia="zh-CN"/>
              </w:rPr>
              <w:t>。</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519"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861"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557" w:type="dxa"/>
            <w:gridSpan w:val="2"/>
            <w:tcBorders>
              <w:tl2br w:val="nil"/>
              <w:tr2bl w:val="nil"/>
            </w:tcBorders>
            <w:noWrap w:val="0"/>
            <w:vAlign w:val="center"/>
          </w:tcPr>
          <w:p>
            <w:pPr>
              <w:spacing w:line="280" w:lineRule="exact"/>
              <w:jc w:val="both"/>
              <w:rPr>
                <w:rFonts w:hint="eastAsia" w:ascii="宋体" w:hAnsi="宋体" w:eastAsia="宋体" w:cs="宋体"/>
                <w:spacing w:val="-6"/>
                <w:sz w:val="21"/>
                <w:szCs w:val="21"/>
                <w:highlight w:val="none"/>
              </w:rPr>
            </w:pPr>
            <w:r>
              <w:rPr>
                <w:rFonts w:hint="eastAsia" w:ascii="宋体" w:hAnsi="宋体" w:eastAsia="宋体" w:cs="宋体"/>
                <w:spacing w:val="-6"/>
                <w:sz w:val="21"/>
                <w:szCs w:val="21"/>
                <w:highlight w:val="none"/>
              </w:rPr>
              <w:t>国家电网有限公司员工服务“十个不准”</w:t>
            </w:r>
          </w:p>
        </w:tc>
        <w:tc>
          <w:tcPr>
            <w:tcW w:w="1810" w:type="dxa"/>
            <w:vMerge w:val="continue"/>
            <w:tcBorders>
              <w:tl2br w:val="nil"/>
              <w:tr2bl w:val="nil"/>
            </w:tcBorders>
            <w:noWrap w:val="0"/>
            <w:vAlign w:val="center"/>
          </w:tcPr>
          <w:p>
            <w:pPr>
              <w:spacing w:line="280" w:lineRule="exact"/>
              <w:jc w:val="both"/>
              <w:rPr>
                <w:rFonts w:hint="eastAsia" w:ascii="宋体" w:hAnsi="宋体" w:eastAsia="宋体" w:cs="宋体"/>
                <w:sz w:val="21"/>
                <w:szCs w:val="21"/>
                <w:highlight w:val="none"/>
              </w:rPr>
            </w:pPr>
          </w:p>
        </w:tc>
        <w:tc>
          <w:tcPr>
            <w:tcW w:w="1231"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082" w:type="dxa"/>
            <w:vMerge w:val="continue"/>
            <w:tcBorders>
              <w:bottom w:val="single" w:color="auto" w:sz="4" w:space="0"/>
              <w:tl2br w:val="nil"/>
              <w:tr2bl w:val="nil"/>
            </w:tcBorders>
            <w:noWrap w:val="0"/>
            <w:vAlign w:val="center"/>
          </w:tcPr>
          <w:p>
            <w:pPr>
              <w:spacing w:line="280" w:lineRule="exact"/>
              <w:jc w:val="both"/>
              <w:rPr>
                <w:rFonts w:hint="eastAsia" w:ascii="宋体" w:hAnsi="宋体" w:eastAsia="宋体" w:cs="宋体"/>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519"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861"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557" w:type="dxa"/>
            <w:gridSpan w:val="2"/>
            <w:tcBorders>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lang w:val="en-US" w:eastAsia="zh-CN"/>
              </w:rPr>
            </w:pPr>
            <w:r>
              <w:rPr>
                <w:rFonts w:hint="eastAsia" w:ascii="宋体" w:hAnsi="宋体" w:eastAsia="宋体" w:cs="宋体"/>
                <w:spacing w:val="-6"/>
                <w:sz w:val="21"/>
                <w:szCs w:val="21"/>
                <w:highlight w:val="none"/>
              </w:rPr>
              <w:t>95598供电服务热线</w:t>
            </w:r>
          </w:p>
        </w:tc>
        <w:tc>
          <w:tcPr>
            <w:tcW w:w="1810" w:type="dxa"/>
            <w:vMerge w:val="continue"/>
            <w:tcBorders>
              <w:bottom w:val="single" w:color="auto" w:sz="4" w:space="0"/>
              <w:tl2br w:val="nil"/>
              <w:tr2bl w:val="nil"/>
            </w:tcBorders>
            <w:noWrap w:val="0"/>
            <w:vAlign w:val="center"/>
          </w:tcPr>
          <w:p>
            <w:pPr>
              <w:spacing w:line="280" w:lineRule="exact"/>
              <w:jc w:val="both"/>
              <w:rPr>
                <w:rFonts w:hint="eastAsia" w:ascii="宋体" w:hAnsi="宋体" w:eastAsia="宋体" w:cs="宋体"/>
                <w:sz w:val="21"/>
                <w:szCs w:val="21"/>
                <w:highlight w:val="none"/>
              </w:rPr>
            </w:pPr>
          </w:p>
        </w:tc>
        <w:tc>
          <w:tcPr>
            <w:tcW w:w="1231"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082" w:type="dxa"/>
            <w:tcBorders>
              <w:top w:val="single" w:color="auto" w:sz="4" w:space="0"/>
              <w:tl2br w:val="nil"/>
              <w:tr2bl w:val="nil"/>
            </w:tcBorders>
            <w:noWrap w:val="0"/>
            <w:vAlign w:val="center"/>
          </w:tcPr>
          <w:p>
            <w:pPr>
              <w:spacing w:line="280" w:lineRule="exact"/>
              <w:jc w:val="both"/>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根据具体情况确定</w:t>
            </w:r>
            <w:r>
              <w:rPr>
                <w:rFonts w:hint="eastAsia" w:ascii="宋体" w:hAnsi="宋体" w:eastAsia="宋体" w:cs="宋体"/>
                <w:sz w:val="21"/>
                <w:szCs w:val="21"/>
                <w:highlight w:val="none"/>
                <w:lang w:eastAsia="zh-CN"/>
              </w:rPr>
              <w:t>。</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519" w:type="dxa"/>
            <w:vMerge w:val="restart"/>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电力服务</w:t>
            </w:r>
          </w:p>
        </w:tc>
        <w:tc>
          <w:tcPr>
            <w:tcW w:w="861" w:type="dxa"/>
            <w:vMerge w:val="restart"/>
            <w:tcBorders>
              <w:tl2br w:val="nil"/>
              <w:tr2bl w:val="nil"/>
            </w:tcBorders>
            <w:noWrap w:val="0"/>
            <w:vAlign w:val="center"/>
          </w:tcPr>
          <w:p>
            <w:pPr>
              <w:adjustRightInd w:val="0"/>
              <w:snapToGrid w:val="0"/>
              <w:spacing w:line="280" w:lineRule="exact"/>
              <w:jc w:val="center"/>
              <w:rPr>
                <w:rFonts w:hint="eastAsia" w:ascii="宋体" w:hAnsi="宋体" w:eastAsia="宋体" w:cs="宋体"/>
                <w:spacing w:val="-6"/>
                <w:sz w:val="21"/>
                <w:szCs w:val="21"/>
                <w:highlight w:val="none"/>
              </w:rPr>
            </w:pPr>
            <w:r>
              <w:rPr>
                <w:rFonts w:hint="eastAsia" w:ascii="宋体" w:hAnsi="宋体" w:eastAsia="宋体" w:cs="宋体"/>
                <w:spacing w:val="-6"/>
                <w:sz w:val="21"/>
                <w:szCs w:val="21"/>
                <w:highlight w:val="none"/>
              </w:rPr>
              <w:t>投诉</w:t>
            </w:r>
          </w:p>
          <w:p>
            <w:pPr>
              <w:adjustRightInd w:val="0"/>
              <w:snapToGrid w:val="0"/>
              <w:spacing w:line="280" w:lineRule="exact"/>
              <w:jc w:val="center"/>
              <w:rPr>
                <w:rFonts w:hint="eastAsia" w:ascii="宋体" w:hAnsi="宋体" w:eastAsia="宋体" w:cs="宋体"/>
                <w:sz w:val="21"/>
                <w:szCs w:val="21"/>
                <w:highlight w:val="none"/>
              </w:rPr>
            </w:pPr>
            <w:r>
              <w:rPr>
                <w:rFonts w:hint="eastAsia" w:ascii="宋体" w:hAnsi="宋体" w:eastAsia="宋体" w:cs="宋体"/>
                <w:spacing w:val="-6"/>
                <w:sz w:val="21"/>
                <w:szCs w:val="21"/>
                <w:highlight w:val="none"/>
              </w:rPr>
              <w:t>渠道</w:t>
            </w:r>
          </w:p>
        </w:tc>
        <w:tc>
          <w:tcPr>
            <w:tcW w:w="2557" w:type="dxa"/>
            <w:gridSpan w:val="2"/>
            <w:tcBorders>
              <w:bottom w:val="single" w:color="auto" w:sz="4" w:space="0"/>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95598</w:t>
            </w:r>
            <w:r>
              <w:rPr>
                <w:rFonts w:hint="eastAsia" w:ascii="宋体" w:hAnsi="宋体" w:eastAsia="宋体" w:cs="宋体"/>
                <w:spacing w:val="-6"/>
                <w:sz w:val="21"/>
                <w:szCs w:val="21"/>
                <w:highlight w:val="none"/>
              </w:rPr>
              <w:t>供电服务热线</w:t>
            </w:r>
          </w:p>
        </w:tc>
        <w:tc>
          <w:tcPr>
            <w:tcW w:w="1810" w:type="dxa"/>
            <w:tcBorders>
              <w:top w:val="single" w:color="auto" w:sz="4" w:space="0"/>
              <w:bottom w:val="single" w:color="auto" w:sz="4" w:space="0"/>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val="0"/>
              <w:snapToGrid w:val="0"/>
              <w:spacing w:line="280" w:lineRule="exact"/>
              <w:jc w:val="both"/>
              <w:textAlignment w:val="auto"/>
              <w:rPr>
                <w:rFonts w:hint="eastAsia" w:ascii="宋体" w:hAnsi="宋体" w:eastAsia="宋体" w:cs="宋体"/>
                <w:spacing w:val="-6"/>
                <w:sz w:val="21"/>
                <w:szCs w:val="21"/>
                <w:highlight w:val="none"/>
              </w:rPr>
            </w:pPr>
            <w:r>
              <w:rPr>
                <w:rFonts w:hint="eastAsia" w:ascii="宋体" w:hAnsi="宋体" w:eastAsia="宋体" w:cs="宋体"/>
                <w:spacing w:val="-6"/>
                <w:sz w:val="21"/>
                <w:szCs w:val="21"/>
                <w:highlight w:val="none"/>
              </w:rPr>
              <w:t>对外门户网站；网上国网APP；供电营业厅</w:t>
            </w:r>
          </w:p>
        </w:tc>
        <w:tc>
          <w:tcPr>
            <w:tcW w:w="1231" w:type="dxa"/>
            <w:vMerge w:val="restart"/>
            <w:tcBorders>
              <w:tl2br w:val="nil"/>
              <w:tr2bl w:val="nil"/>
            </w:tcBorders>
            <w:noWrap w:val="0"/>
            <w:vAlign w:val="center"/>
          </w:tcPr>
          <w:p>
            <w:pPr>
              <w:adjustRightInd w:val="0"/>
              <w:snapToGrid w:val="0"/>
              <w:spacing w:line="28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营销部</w:t>
            </w:r>
          </w:p>
        </w:tc>
        <w:tc>
          <w:tcPr>
            <w:tcW w:w="2082" w:type="dxa"/>
            <w:vMerge w:val="restart"/>
            <w:tcBorders>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自发生变化之日起10个工作</w:t>
            </w:r>
            <w:r>
              <w:rPr>
                <w:rFonts w:hint="eastAsia" w:ascii="宋体" w:hAnsi="宋体" w:eastAsia="宋体" w:cs="宋体"/>
                <w:sz w:val="21"/>
                <w:szCs w:val="21"/>
                <w:highlight w:val="none"/>
                <w:lang w:eastAsia="zh-CN"/>
              </w:rPr>
              <w:t>日</w:t>
            </w:r>
            <w:r>
              <w:rPr>
                <w:rFonts w:hint="eastAsia" w:ascii="宋体" w:hAnsi="宋体" w:eastAsia="宋体" w:cs="宋体"/>
                <w:sz w:val="21"/>
                <w:szCs w:val="21"/>
                <w:highlight w:val="none"/>
              </w:rPr>
              <w:t>内更新</w:t>
            </w:r>
            <w:r>
              <w:rPr>
                <w:rFonts w:hint="eastAsia" w:ascii="宋体" w:hAnsi="宋体" w:eastAsia="宋体" w:cs="宋体"/>
                <w:sz w:val="21"/>
                <w:szCs w:val="21"/>
                <w:highlight w:val="none"/>
                <w:lang w:eastAsia="zh-CN"/>
              </w:rPr>
              <w:t>。</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519"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861"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557" w:type="dxa"/>
            <w:gridSpan w:val="2"/>
            <w:tcBorders>
              <w:top w:val="single" w:color="auto" w:sz="4" w:space="0"/>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12398能源监管热线</w:t>
            </w:r>
          </w:p>
        </w:tc>
        <w:tc>
          <w:tcPr>
            <w:tcW w:w="1810" w:type="dxa"/>
            <w:vMerge w:val="restart"/>
            <w:tcBorders>
              <w:top w:val="single" w:color="auto" w:sz="4" w:space="0"/>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val="0"/>
              <w:snapToGrid w:val="0"/>
              <w:spacing w:line="280" w:lineRule="exact"/>
              <w:jc w:val="both"/>
              <w:textAlignment w:val="auto"/>
              <w:rPr>
                <w:rFonts w:hint="eastAsia" w:ascii="宋体" w:hAnsi="宋体" w:eastAsia="宋体" w:cs="宋体"/>
                <w:spacing w:val="-6"/>
                <w:sz w:val="21"/>
                <w:szCs w:val="21"/>
                <w:highlight w:val="none"/>
              </w:rPr>
            </w:pPr>
            <w:r>
              <w:rPr>
                <w:rFonts w:hint="eastAsia" w:ascii="宋体" w:hAnsi="宋体" w:eastAsia="宋体" w:cs="宋体"/>
                <w:spacing w:val="-6"/>
                <w:sz w:val="21"/>
                <w:szCs w:val="21"/>
                <w:highlight w:val="none"/>
              </w:rPr>
              <w:t>对外门户网站、网上国网App、95598网站、供电营业厅、即时通讯软件、短信、移动客户端、各类业务单据</w:t>
            </w:r>
          </w:p>
        </w:tc>
        <w:tc>
          <w:tcPr>
            <w:tcW w:w="1231"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082" w:type="dxa"/>
            <w:vMerge w:val="continue"/>
            <w:tcBorders>
              <w:tl2br w:val="nil"/>
              <w:tr2bl w:val="nil"/>
            </w:tcBorders>
            <w:noWrap w:val="0"/>
            <w:vAlign w:val="center"/>
          </w:tcPr>
          <w:p>
            <w:pPr>
              <w:spacing w:line="280" w:lineRule="exact"/>
              <w:jc w:val="both"/>
              <w:rPr>
                <w:rFonts w:hint="eastAsia" w:ascii="宋体" w:hAnsi="宋体" w:eastAsia="宋体" w:cs="宋体"/>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519"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861"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557" w:type="dxa"/>
            <w:gridSpan w:val="2"/>
            <w:tcBorders>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12398能源监管APP</w:t>
            </w:r>
          </w:p>
        </w:tc>
        <w:tc>
          <w:tcPr>
            <w:tcW w:w="1810" w:type="dxa"/>
            <w:vMerge w:val="continue"/>
            <w:tcBorders>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p>
        </w:tc>
        <w:tc>
          <w:tcPr>
            <w:tcW w:w="1231"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082" w:type="dxa"/>
            <w:vMerge w:val="continue"/>
            <w:tcBorders>
              <w:tl2br w:val="nil"/>
              <w:tr2bl w:val="nil"/>
            </w:tcBorders>
            <w:noWrap w:val="0"/>
            <w:vAlign w:val="center"/>
          </w:tcPr>
          <w:p>
            <w:pPr>
              <w:spacing w:line="280" w:lineRule="exact"/>
              <w:jc w:val="both"/>
              <w:rPr>
                <w:rFonts w:hint="eastAsia" w:ascii="宋体" w:hAnsi="宋体" w:eastAsia="宋体" w:cs="宋体"/>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519"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861"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557" w:type="dxa"/>
            <w:gridSpan w:val="2"/>
            <w:tcBorders>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12398能源监管微信公众号</w:t>
            </w:r>
          </w:p>
        </w:tc>
        <w:tc>
          <w:tcPr>
            <w:tcW w:w="1810" w:type="dxa"/>
            <w:vMerge w:val="continue"/>
            <w:tcBorders>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p>
        </w:tc>
        <w:tc>
          <w:tcPr>
            <w:tcW w:w="1231"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082" w:type="dxa"/>
            <w:vMerge w:val="continue"/>
            <w:tcBorders>
              <w:tl2br w:val="nil"/>
              <w:tr2bl w:val="nil"/>
            </w:tcBorders>
            <w:noWrap w:val="0"/>
            <w:vAlign w:val="center"/>
          </w:tcPr>
          <w:p>
            <w:pPr>
              <w:spacing w:line="280" w:lineRule="exact"/>
              <w:jc w:val="both"/>
              <w:rPr>
                <w:rFonts w:hint="eastAsia" w:ascii="宋体" w:hAnsi="宋体" w:eastAsia="宋体" w:cs="宋体"/>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519"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861" w:type="dxa"/>
            <w:vMerge w:val="restart"/>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r>
              <w:rPr>
                <w:rFonts w:hint="eastAsia" w:ascii="宋体" w:hAnsi="宋体" w:eastAsia="宋体" w:cs="宋体"/>
                <w:spacing w:val="0"/>
                <w:sz w:val="21"/>
                <w:szCs w:val="21"/>
                <w:highlight w:val="none"/>
              </w:rPr>
              <w:t>供电服务所执行的法律法规以及企业制定的涉及用户利益的有关管理制度和技术标准</w:t>
            </w:r>
          </w:p>
        </w:tc>
        <w:tc>
          <w:tcPr>
            <w:tcW w:w="2557" w:type="dxa"/>
            <w:gridSpan w:val="2"/>
            <w:tcBorders>
              <w:bottom w:val="single" w:color="auto" w:sz="4" w:space="0"/>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电力法、</w:t>
            </w:r>
            <w:r>
              <w:rPr>
                <w:rFonts w:hint="eastAsia" w:ascii="宋体" w:hAnsi="宋体" w:eastAsia="宋体" w:cs="宋体"/>
                <w:color w:val="000000"/>
                <w:kern w:val="0"/>
                <w:sz w:val="21"/>
                <w:szCs w:val="21"/>
                <w:highlight w:val="none"/>
                <w:lang w:bidi="ar"/>
              </w:rPr>
              <w:t>电力供应与使用条例、电力设施保护条例、供电监管办法、供电营业规则等法律法规</w:t>
            </w:r>
          </w:p>
        </w:tc>
        <w:tc>
          <w:tcPr>
            <w:tcW w:w="1810" w:type="dxa"/>
            <w:vMerge w:val="restart"/>
            <w:tcBorders>
              <w:tl2br w:val="nil"/>
              <w:tr2bl w:val="nil"/>
            </w:tcBorders>
            <w:noWrap w:val="0"/>
            <w:vAlign w:val="center"/>
          </w:tcPr>
          <w:p>
            <w:pPr>
              <w:spacing w:line="280" w:lineRule="exact"/>
              <w:jc w:val="both"/>
              <w:rPr>
                <w:rFonts w:hint="eastAsia" w:ascii="宋体" w:hAnsi="宋体" w:eastAsia="宋体" w:cs="宋体"/>
                <w:spacing w:val="-6"/>
                <w:sz w:val="21"/>
                <w:szCs w:val="21"/>
                <w:highlight w:val="none"/>
                <w:lang w:eastAsia="zh-CN"/>
              </w:rPr>
            </w:pPr>
            <w:r>
              <w:rPr>
                <w:rFonts w:hint="eastAsia" w:ascii="宋体" w:hAnsi="宋体" w:eastAsia="宋体" w:cs="宋体"/>
                <w:spacing w:val="-6"/>
                <w:sz w:val="21"/>
                <w:szCs w:val="21"/>
                <w:highlight w:val="none"/>
                <w:lang w:eastAsia="zh-CN"/>
              </w:rPr>
              <w:t>对外门户网站</w:t>
            </w:r>
          </w:p>
        </w:tc>
        <w:tc>
          <w:tcPr>
            <w:tcW w:w="1231" w:type="dxa"/>
            <w:vMerge w:val="restart"/>
            <w:tcBorders>
              <w:tl2br w:val="nil"/>
              <w:tr2bl w:val="nil"/>
            </w:tcBorders>
            <w:noWrap w:val="0"/>
            <w:vAlign w:val="center"/>
          </w:tcPr>
          <w:p>
            <w:pPr>
              <w:spacing w:line="280" w:lineRule="exact"/>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办公室</w:t>
            </w:r>
          </w:p>
          <w:p>
            <w:pPr>
              <w:spacing w:line="280" w:lineRule="exact"/>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营销部</w:t>
            </w:r>
            <w:r>
              <w:rPr>
                <w:rFonts w:hint="eastAsia" w:ascii="宋体" w:hAnsi="宋体" w:eastAsia="宋体" w:cs="宋体"/>
                <w:sz w:val="21"/>
                <w:szCs w:val="21"/>
                <w:highlight w:val="none"/>
                <w:lang w:eastAsia="zh-CN"/>
              </w:rPr>
              <w:t>及相关制度标准归口管理部门</w:t>
            </w:r>
          </w:p>
          <w:p>
            <w:pPr>
              <w:spacing w:line="280" w:lineRule="exact"/>
              <w:jc w:val="center"/>
              <w:rPr>
                <w:rFonts w:hint="eastAsia" w:ascii="宋体" w:hAnsi="宋体" w:eastAsia="宋体" w:cs="宋体"/>
                <w:sz w:val="21"/>
                <w:szCs w:val="21"/>
                <w:highlight w:val="none"/>
              </w:rPr>
            </w:pPr>
          </w:p>
        </w:tc>
        <w:tc>
          <w:tcPr>
            <w:tcW w:w="2082" w:type="dxa"/>
            <w:vMerge w:val="restart"/>
            <w:tcBorders>
              <w:tl2br w:val="nil"/>
              <w:tr2bl w:val="nil"/>
            </w:tcBorders>
            <w:noWrap w:val="0"/>
            <w:vAlign w:val="center"/>
          </w:tcPr>
          <w:p>
            <w:pPr>
              <w:spacing w:line="280" w:lineRule="exact"/>
              <w:jc w:val="both"/>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自发生变化之日起10个工作</w:t>
            </w:r>
            <w:r>
              <w:rPr>
                <w:rFonts w:hint="eastAsia" w:ascii="宋体" w:hAnsi="宋体" w:eastAsia="宋体" w:cs="宋体"/>
                <w:sz w:val="21"/>
                <w:szCs w:val="21"/>
                <w:highlight w:val="none"/>
                <w:lang w:eastAsia="zh-CN"/>
              </w:rPr>
              <w:t>日</w:t>
            </w:r>
            <w:r>
              <w:rPr>
                <w:rFonts w:hint="eastAsia" w:ascii="宋体" w:hAnsi="宋体" w:eastAsia="宋体" w:cs="宋体"/>
                <w:sz w:val="21"/>
                <w:szCs w:val="21"/>
                <w:highlight w:val="none"/>
              </w:rPr>
              <w:t>内更新</w:t>
            </w:r>
            <w:r>
              <w:rPr>
                <w:rFonts w:hint="eastAsia" w:ascii="宋体" w:hAnsi="宋体" w:eastAsia="宋体" w:cs="宋体"/>
                <w:sz w:val="21"/>
                <w:szCs w:val="21"/>
                <w:highlight w:val="none"/>
                <w:lang w:eastAsia="zh-CN"/>
              </w:rPr>
              <w:t>。</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519"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861"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557" w:type="dxa"/>
            <w:gridSpan w:val="2"/>
            <w:tcBorders>
              <w:top w:val="single" w:color="auto" w:sz="4" w:space="0"/>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r>
              <w:rPr>
                <w:rFonts w:hint="eastAsia" w:ascii="宋体" w:hAnsi="宋体" w:eastAsia="宋体" w:cs="宋体"/>
                <w:color w:val="000000"/>
                <w:kern w:val="0"/>
                <w:sz w:val="21"/>
                <w:szCs w:val="21"/>
                <w:highlight w:val="none"/>
                <w:lang w:bidi="ar"/>
              </w:rPr>
              <w:t>供电服务规范等电力行业技术标准</w:t>
            </w:r>
          </w:p>
        </w:tc>
        <w:tc>
          <w:tcPr>
            <w:tcW w:w="1810" w:type="dxa"/>
            <w:vMerge w:val="continue"/>
            <w:tcBorders>
              <w:tl2br w:val="nil"/>
              <w:tr2bl w:val="nil"/>
            </w:tcBorders>
            <w:noWrap w:val="0"/>
            <w:vAlign w:val="center"/>
          </w:tcPr>
          <w:p>
            <w:pPr>
              <w:spacing w:line="280" w:lineRule="exact"/>
              <w:jc w:val="both"/>
              <w:rPr>
                <w:rFonts w:hint="eastAsia" w:ascii="宋体" w:hAnsi="宋体" w:eastAsia="宋体" w:cs="宋体"/>
                <w:spacing w:val="-6"/>
                <w:sz w:val="21"/>
                <w:szCs w:val="21"/>
                <w:highlight w:val="none"/>
              </w:rPr>
            </w:pPr>
          </w:p>
        </w:tc>
        <w:tc>
          <w:tcPr>
            <w:tcW w:w="1231"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082" w:type="dxa"/>
            <w:vMerge w:val="continue"/>
            <w:tcBorders>
              <w:tl2br w:val="nil"/>
              <w:tr2bl w:val="nil"/>
            </w:tcBorders>
            <w:noWrap w:val="0"/>
            <w:vAlign w:val="center"/>
          </w:tcPr>
          <w:p>
            <w:pPr>
              <w:spacing w:line="280" w:lineRule="exact"/>
              <w:jc w:val="both"/>
              <w:rPr>
                <w:rFonts w:hint="eastAsia" w:ascii="宋体" w:hAnsi="宋体" w:eastAsia="宋体" w:cs="宋体"/>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380" w:type="dxa"/>
            <w:gridSpan w:val="2"/>
            <w:vMerge w:val="restart"/>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建设经营</w:t>
            </w:r>
          </w:p>
        </w:tc>
        <w:tc>
          <w:tcPr>
            <w:tcW w:w="2557" w:type="dxa"/>
            <w:gridSpan w:val="2"/>
            <w:tcBorders>
              <w:tl2br w:val="nil"/>
              <w:tr2bl w:val="nil"/>
            </w:tcBorders>
            <w:noWrap w:val="0"/>
            <w:vAlign w:val="center"/>
          </w:tcPr>
          <w:p>
            <w:pPr>
              <w:widowControl/>
              <w:spacing w:line="280" w:lineRule="exact"/>
              <w:jc w:val="both"/>
              <w:textAlignment w:val="center"/>
              <w:rPr>
                <w:rFonts w:hint="eastAsia" w:ascii="宋体" w:hAnsi="宋体" w:eastAsia="宋体" w:cs="宋体"/>
                <w:sz w:val="21"/>
                <w:szCs w:val="21"/>
                <w:highlight w:val="none"/>
                <w:lang w:val="en-US" w:eastAsia="zh-CN"/>
              </w:rPr>
            </w:pPr>
            <w:r>
              <w:rPr>
                <w:rFonts w:hint="eastAsia" w:ascii="宋体" w:hAnsi="宋体" w:eastAsia="宋体" w:cs="宋体"/>
                <w:spacing w:val="-6"/>
                <w:sz w:val="21"/>
                <w:szCs w:val="21"/>
                <w:highlight w:val="none"/>
              </w:rPr>
              <w:t>主要财务状况和经营成果</w:t>
            </w:r>
          </w:p>
        </w:tc>
        <w:tc>
          <w:tcPr>
            <w:tcW w:w="1810" w:type="dxa"/>
            <w:tcBorders>
              <w:bottom w:val="single" w:color="auto" w:sz="4" w:space="0"/>
              <w:tl2br w:val="nil"/>
              <w:tr2bl w:val="nil"/>
            </w:tcBorders>
            <w:noWrap w:val="0"/>
            <w:vAlign w:val="center"/>
          </w:tcPr>
          <w:p>
            <w:pPr>
              <w:spacing w:line="280" w:lineRule="exact"/>
              <w:jc w:val="both"/>
              <w:rPr>
                <w:rFonts w:hint="eastAsia" w:ascii="宋体" w:hAnsi="宋体" w:eastAsia="宋体" w:cs="宋体"/>
                <w:spacing w:val="-6"/>
                <w:sz w:val="21"/>
                <w:szCs w:val="21"/>
                <w:highlight w:val="none"/>
              </w:rPr>
            </w:pPr>
            <w:r>
              <w:rPr>
                <w:rFonts w:hint="eastAsia" w:ascii="宋体" w:hAnsi="宋体" w:eastAsia="宋体" w:cs="宋体"/>
                <w:spacing w:val="-6"/>
                <w:sz w:val="21"/>
                <w:szCs w:val="21"/>
                <w:highlight w:val="none"/>
              </w:rPr>
              <w:t>对外门户网站</w:t>
            </w:r>
          </w:p>
        </w:tc>
        <w:tc>
          <w:tcPr>
            <w:tcW w:w="1231" w:type="dxa"/>
            <w:tcBorders>
              <w:bottom w:val="single" w:color="auto" w:sz="4" w:space="0"/>
              <w:tl2br w:val="nil"/>
              <w:tr2bl w:val="nil"/>
            </w:tcBorders>
            <w:noWrap w:val="0"/>
            <w:vAlign w:val="center"/>
          </w:tcPr>
          <w:p>
            <w:pPr>
              <w:spacing w:line="28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财务</w:t>
            </w:r>
            <w:r>
              <w:rPr>
                <w:rFonts w:hint="eastAsia" w:ascii="宋体" w:hAnsi="宋体" w:eastAsia="宋体" w:cs="宋体"/>
                <w:sz w:val="21"/>
                <w:szCs w:val="21"/>
                <w:highlight w:val="none"/>
              </w:rPr>
              <w:t>部</w:t>
            </w:r>
          </w:p>
        </w:tc>
        <w:tc>
          <w:tcPr>
            <w:tcW w:w="2082" w:type="dxa"/>
            <w:tcBorders>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按年度更新。</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380" w:type="dxa"/>
            <w:gridSpan w:val="2"/>
            <w:vMerge w:val="continue"/>
            <w:tcBorders>
              <w:tl2br w:val="nil"/>
              <w:tr2bl w:val="nil"/>
            </w:tcBorders>
            <w:noWrap w:val="0"/>
            <w:vAlign w:val="center"/>
          </w:tcPr>
          <w:p>
            <w:pPr>
              <w:adjustRightInd w:val="0"/>
              <w:snapToGrid w:val="0"/>
              <w:spacing w:line="280" w:lineRule="exact"/>
              <w:jc w:val="center"/>
              <w:rPr>
                <w:rFonts w:hint="eastAsia" w:ascii="宋体" w:hAnsi="宋体" w:eastAsia="宋体" w:cs="宋体"/>
                <w:sz w:val="21"/>
                <w:szCs w:val="21"/>
                <w:highlight w:val="none"/>
              </w:rPr>
            </w:pPr>
          </w:p>
        </w:tc>
        <w:tc>
          <w:tcPr>
            <w:tcW w:w="2557" w:type="dxa"/>
            <w:gridSpan w:val="2"/>
            <w:tcBorders>
              <w:tl2br w:val="nil"/>
              <w:tr2bl w:val="nil"/>
            </w:tcBorders>
            <w:noWrap w:val="0"/>
            <w:vAlign w:val="center"/>
          </w:tcPr>
          <w:p>
            <w:pPr>
              <w:widowControl/>
              <w:spacing w:line="280" w:lineRule="exact"/>
              <w:jc w:val="both"/>
              <w:textAlignment w:val="center"/>
              <w:rPr>
                <w:rFonts w:hint="eastAsia" w:ascii="宋体" w:hAnsi="宋体" w:eastAsia="宋体" w:cs="宋体"/>
                <w:kern w:val="0"/>
                <w:sz w:val="21"/>
                <w:szCs w:val="21"/>
                <w:highlight w:val="none"/>
                <w:lang w:val="en-US" w:eastAsia="zh-CN"/>
              </w:rPr>
            </w:pPr>
            <w:r>
              <w:rPr>
                <w:rFonts w:hint="eastAsia" w:ascii="宋体" w:hAnsi="宋体" w:eastAsia="宋体" w:cs="宋体"/>
                <w:spacing w:val="-6"/>
                <w:sz w:val="21"/>
                <w:szCs w:val="21"/>
                <w:highlight w:val="none"/>
              </w:rPr>
              <w:t>国有资产保值增值情况</w:t>
            </w:r>
          </w:p>
        </w:tc>
        <w:tc>
          <w:tcPr>
            <w:tcW w:w="1810" w:type="dxa"/>
            <w:tcBorders>
              <w:top w:val="single" w:color="auto" w:sz="4" w:space="0"/>
              <w:bottom w:val="single" w:color="auto" w:sz="4" w:space="0"/>
              <w:tl2br w:val="nil"/>
              <w:tr2bl w:val="nil"/>
            </w:tcBorders>
            <w:noWrap w:val="0"/>
            <w:vAlign w:val="center"/>
          </w:tcPr>
          <w:p>
            <w:pPr>
              <w:spacing w:line="280" w:lineRule="exact"/>
              <w:jc w:val="both"/>
              <w:rPr>
                <w:rFonts w:hint="eastAsia" w:ascii="宋体" w:hAnsi="宋体" w:eastAsia="宋体" w:cs="宋体"/>
                <w:spacing w:val="-6"/>
                <w:sz w:val="21"/>
                <w:szCs w:val="21"/>
                <w:highlight w:val="none"/>
              </w:rPr>
            </w:pPr>
            <w:r>
              <w:rPr>
                <w:rFonts w:hint="eastAsia" w:ascii="宋体" w:hAnsi="宋体" w:eastAsia="宋体" w:cs="宋体"/>
                <w:spacing w:val="-6"/>
                <w:sz w:val="21"/>
                <w:szCs w:val="21"/>
                <w:highlight w:val="none"/>
              </w:rPr>
              <w:t>对外门户网站</w:t>
            </w:r>
          </w:p>
        </w:tc>
        <w:tc>
          <w:tcPr>
            <w:tcW w:w="1231" w:type="dxa"/>
            <w:tcBorders>
              <w:top w:val="single" w:color="auto" w:sz="4" w:space="0"/>
              <w:bottom w:val="single" w:color="auto" w:sz="4" w:space="0"/>
              <w:tl2br w:val="nil"/>
              <w:tr2bl w:val="nil"/>
            </w:tcBorders>
            <w:noWrap w:val="0"/>
            <w:vAlign w:val="center"/>
          </w:tcPr>
          <w:p>
            <w:pPr>
              <w:spacing w:line="280" w:lineRule="exact"/>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财务部</w:t>
            </w:r>
          </w:p>
        </w:tc>
        <w:tc>
          <w:tcPr>
            <w:tcW w:w="2082" w:type="dxa"/>
            <w:tcBorders>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按年度更新。</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380" w:type="dxa"/>
            <w:gridSpan w:val="2"/>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1081" w:type="dxa"/>
            <w:tcBorders>
              <w:tl2br w:val="nil"/>
              <w:tr2bl w:val="nil"/>
            </w:tcBorders>
            <w:noWrap w:val="0"/>
            <w:vAlign w:val="center"/>
          </w:tcPr>
          <w:p>
            <w:pPr>
              <w:spacing w:line="280" w:lineRule="exact"/>
              <w:jc w:val="both"/>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通过产权市场企业产权转让和企业增资等信息</w:t>
            </w:r>
          </w:p>
        </w:tc>
        <w:tc>
          <w:tcPr>
            <w:tcW w:w="1476" w:type="dxa"/>
            <w:tcBorders>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r>
              <w:rPr>
                <w:rFonts w:hint="eastAsia" w:ascii="宋体" w:hAnsi="宋体" w:eastAsia="宋体" w:cs="宋体"/>
                <w:kern w:val="0"/>
                <w:sz w:val="21"/>
                <w:szCs w:val="21"/>
                <w:highlight w:val="none"/>
              </w:rPr>
              <w:t>产权转让信息、企业增资结果</w:t>
            </w:r>
          </w:p>
        </w:tc>
        <w:tc>
          <w:tcPr>
            <w:tcW w:w="1810" w:type="dxa"/>
            <w:tcBorders>
              <w:top w:val="single" w:color="auto" w:sz="4" w:space="0"/>
              <w:tl2br w:val="nil"/>
              <w:tr2bl w:val="nil"/>
            </w:tcBorders>
            <w:noWrap w:val="0"/>
            <w:vAlign w:val="center"/>
          </w:tcPr>
          <w:p>
            <w:pPr>
              <w:spacing w:line="280" w:lineRule="exact"/>
              <w:jc w:val="both"/>
              <w:rPr>
                <w:rFonts w:hint="eastAsia" w:ascii="宋体" w:hAnsi="宋体" w:eastAsia="宋体" w:cs="宋体"/>
                <w:spacing w:val="-6"/>
                <w:sz w:val="21"/>
                <w:szCs w:val="21"/>
                <w:highlight w:val="none"/>
              </w:rPr>
            </w:pPr>
            <w:r>
              <w:rPr>
                <w:rFonts w:hint="eastAsia" w:ascii="宋体" w:hAnsi="宋体" w:eastAsia="宋体" w:cs="宋体"/>
                <w:spacing w:val="-6"/>
                <w:sz w:val="21"/>
                <w:szCs w:val="21"/>
                <w:highlight w:val="none"/>
              </w:rPr>
              <w:t>对外门户网站</w:t>
            </w:r>
          </w:p>
        </w:tc>
        <w:tc>
          <w:tcPr>
            <w:tcW w:w="1231" w:type="dxa"/>
            <w:tcBorders>
              <w:top w:val="single" w:color="auto" w:sz="4" w:space="0"/>
              <w:tl2br w:val="nil"/>
              <w:tr2bl w:val="nil"/>
            </w:tcBorders>
            <w:noWrap w:val="0"/>
            <w:vAlign w:val="center"/>
          </w:tcPr>
          <w:p>
            <w:pPr>
              <w:spacing w:line="280" w:lineRule="exact"/>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财务部</w:t>
            </w:r>
          </w:p>
        </w:tc>
        <w:tc>
          <w:tcPr>
            <w:tcW w:w="2082" w:type="dxa"/>
            <w:tcBorders>
              <w:tl2br w:val="nil"/>
              <w:tr2bl w:val="nil"/>
            </w:tcBorders>
            <w:noWrap w:val="0"/>
            <w:vAlign w:val="center"/>
          </w:tcPr>
          <w:p>
            <w:pPr>
              <w:spacing w:line="280" w:lineRule="exact"/>
              <w:jc w:val="both"/>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产权转让行为前一个月</w:t>
            </w:r>
            <w:r>
              <w:rPr>
                <w:rFonts w:hint="eastAsia" w:ascii="宋体" w:hAnsi="宋体" w:eastAsia="宋体" w:cs="宋体"/>
                <w:sz w:val="21"/>
                <w:szCs w:val="21"/>
                <w:highlight w:val="none"/>
                <w:lang w:eastAsia="zh-CN"/>
              </w:rPr>
              <w:t>公开</w:t>
            </w:r>
            <w:r>
              <w:rPr>
                <w:rFonts w:hint="eastAsia" w:ascii="宋体" w:hAnsi="宋体" w:eastAsia="宋体" w:cs="宋体"/>
                <w:sz w:val="21"/>
                <w:szCs w:val="21"/>
                <w:highlight w:val="none"/>
              </w:rPr>
              <w:t>；增资行为后一周内</w:t>
            </w:r>
            <w:r>
              <w:rPr>
                <w:rFonts w:hint="eastAsia" w:ascii="宋体" w:hAnsi="宋体" w:eastAsia="宋体" w:cs="宋体"/>
                <w:sz w:val="21"/>
                <w:szCs w:val="21"/>
                <w:highlight w:val="none"/>
                <w:lang w:eastAsia="zh-CN"/>
              </w:rPr>
              <w:t>公开。</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380" w:type="dxa"/>
            <w:gridSpan w:val="2"/>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1081" w:type="dxa"/>
            <w:tcBorders>
              <w:tl2br w:val="nil"/>
              <w:tr2bl w:val="nil"/>
            </w:tcBorders>
            <w:noWrap w:val="0"/>
            <w:vAlign w:val="center"/>
          </w:tcPr>
          <w:p>
            <w:pPr>
              <w:spacing w:line="280" w:lineRule="exact"/>
              <w:jc w:val="both"/>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招标采购过程中依法可以公开的信息</w:t>
            </w:r>
          </w:p>
        </w:tc>
        <w:tc>
          <w:tcPr>
            <w:tcW w:w="1476" w:type="dxa"/>
            <w:tcBorders>
              <w:tl2br w:val="nil"/>
              <w:tr2bl w:val="nil"/>
            </w:tcBorders>
            <w:noWrap w:val="0"/>
            <w:vAlign w:val="center"/>
          </w:tcPr>
          <w:p>
            <w:pPr>
              <w:widowControl/>
              <w:spacing w:line="280" w:lineRule="exact"/>
              <w:jc w:val="both"/>
              <w:textAlignment w:val="center"/>
              <w:rPr>
                <w:rFonts w:hint="eastAsia" w:ascii="宋体" w:hAnsi="宋体" w:eastAsia="宋体" w:cs="宋体"/>
                <w:sz w:val="21"/>
                <w:szCs w:val="21"/>
                <w:highlight w:val="none"/>
              </w:rPr>
            </w:pPr>
            <w:r>
              <w:rPr>
                <w:rFonts w:hint="eastAsia" w:ascii="宋体" w:hAnsi="宋体" w:eastAsia="宋体" w:cs="宋体"/>
                <w:kern w:val="0"/>
                <w:sz w:val="21"/>
                <w:szCs w:val="21"/>
                <w:highlight w:val="none"/>
              </w:rPr>
              <w:t>招标（采购）公告、推荐中标候选人公示、招标（采购）结果公告、否决投标原因公示、浮动系数抽取结果公示</w:t>
            </w:r>
          </w:p>
        </w:tc>
        <w:tc>
          <w:tcPr>
            <w:tcW w:w="1810" w:type="dxa"/>
            <w:tcBorders>
              <w:tl2br w:val="nil"/>
              <w:tr2bl w:val="nil"/>
            </w:tcBorders>
            <w:noWrap w:val="0"/>
            <w:vAlign w:val="center"/>
          </w:tcPr>
          <w:p>
            <w:pPr>
              <w:spacing w:line="280" w:lineRule="exact"/>
              <w:jc w:val="both"/>
              <w:rPr>
                <w:rFonts w:hint="eastAsia" w:ascii="宋体" w:hAnsi="宋体" w:eastAsia="宋体" w:cs="宋体"/>
                <w:spacing w:val="-6"/>
                <w:sz w:val="21"/>
                <w:szCs w:val="21"/>
                <w:highlight w:val="none"/>
                <w:lang w:eastAsia="zh-CN"/>
              </w:rPr>
            </w:pPr>
            <w:r>
              <w:rPr>
                <w:rFonts w:hint="eastAsia" w:ascii="宋体" w:hAnsi="宋体" w:eastAsia="宋体" w:cs="宋体"/>
                <w:spacing w:val="-6"/>
                <w:sz w:val="21"/>
                <w:szCs w:val="21"/>
                <w:highlight w:val="none"/>
              </w:rPr>
              <w:t>电子商务平台</w:t>
            </w:r>
            <w:r>
              <w:rPr>
                <w:rFonts w:hint="eastAsia" w:ascii="宋体" w:hAnsi="宋体" w:eastAsia="宋体" w:cs="宋体"/>
                <w:spacing w:val="-6"/>
                <w:sz w:val="21"/>
                <w:szCs w:val="21"/>
                <w:highlight w:val="none"/>
                <w:lang w:eastAsia="zh-CN"/>
              </w:rPr>
              <w:t>；</w:t>
            </w:r>
          </w:p>
          <w:p>
            <w:pPr>
              <w:spacing w:line="280" w:lineRule="exact"/>
              <w:jc w:val="both"/>
              <w:rPr>
                <w:rFonts w:hint="eastAsia" w:ascii="宋体" w:hAnsi="宋体" w:eastAsia="宋体" w:cs="宋体"/>
                <w:spacing w:val="-6"/>
                <w:sz w:val="21"/>
                <w:szCs w:val="21"/>
                <w:highlight w:val="none"/>
                <w:lang w:eastAsia="zh-CN"/>
              </w:rPr>
            </w:pPr>
            <w:r>
              <w:rPr>
                <w:rFonts w:hint="eastAsia" w:ascii="宋体" w:hAnsi="宋体" w:eastAsia="宋体" w:cs="宋体"/>
                <w:spacing w:val="-6"/>
                <w:sz w:val="21"/>
                <w:szCs w:val="21"/>
              </w:rPr>
              <w:t>中国招标投标公共服务平台</w:t>
            </w:r>
          </w:p>
        </w:tc>
        <w:tc>
          <w:tcPr>
            <w:tcW w:w="1231" w:type="dxa"/>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物资部</w:t>
            </w:r>
          </w:p>
        </w:tc>
        <w:tc>
          <w:tcPr>
            <w:tcW w:w="2082" w:type="dxa"/>
            <w:tcBorders>
              <w:tl2br w:val="nil"/>
              <w:tr2bl w:val="nil"/>
            </w:tcBorders>
            <w:noWrap w:val="0"/>
            <w:vAlign w:val="center"/>
          </w:tcPr>
          <w:p>
            <w:pPr>
              <w:spacing w:line="280" w:lineRule="exact"/>
              <w:jc w:val="both"/>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根据批次安排时间</w:t>
            </w:r>
            <w:r>
              <w:rPr>
                <w:rFonts w:hint="eastAsia" w:ascii="宋体" w:hAnsi="宋体" w:eastAsia="宋体" w:cs="宋体"/>
                <w:sz w:val="21"/>
                <w:szCs w:val="21"/>
                <w:highlight w:val="none"/>
                <w:lang w:eastAsia="zh-CN"/>
              </w:rPr>
              <w:t>公开。</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380" w:type="dxa"/>
            <w:gridSpan w:val="2"/>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1081" w:type="dxa"/>
            <w:vMerge w:val="restart"/>
            <w:tcBorders>
              <w:tl2br w:val="nil"/>
              <w:tr2bl w:val="nil"/>
            </w:tcBorders>
            <w:noWrap w:val="0"/>
            <w:vAlign w:val="center"/>
          </w:tcPr>
          <w:p>
            <w:pPr>
              <w:adjustRightInd w:val="0"/>
              <w:snapToGrid w:val="0"/>
              <w:spacing w:line="280" w:lineRule="exact"/>
              <w:jc w:val="both"/>
              <w:rPr>
                <w:rFonts w:hint="eastAsia" w:ascii="宋体" w:hAnsi="宋体" w:eastAsia="宋体" w:cs="宋体"/>
                <w:spacing w:val="-6"/>
                <w:sz w:val="21"/>
                <w:szCs w:val="21"/>
                <w:highlight w:val="none"/>
              </w:rPr>
            </w:pPr>
            <w:r>
              <w:rPr>
                <w:rFonts w:hint="eastAsia" w:ascii="宋体" w:hAnsi="宋体" w:eastAsia="宋体" w:cs="宋体"/>
                <w:spacing w:val="-6"/>
                <w:sz w:val="21"/>
                <w:szCs w:val="21"/>
                <w:highlight w:val="none"/>
              </w:rPr>
              <w:t>物资采购相关信息</w:t>
            </w:r>
          </w:p>
        </w:tc>
        <w:tc>
          <w:tcPr>
            <w:tcW w:w="1476" w:type="dxa"/>
            <w:tcBorders>
              <w:tl2br w:val="nil"/>
              <w:tr2bl w:val="nil"/>
            </w:tcBorders>
            <w:noWrap w:val="0"/>
            <w:vAlign w:val="center"/>
          </w:tcPr>
          <w:p>
            <w:pPr>
              <w:widowControl/>
              <w:spacing w:line="280" w:lineRule="exact"/>
              <w:jc w:val="both"/>
              <w:textAlignment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年度采购计划</w:t>
            </w:r>
          </w:p>
        </w:tc>
        <w:tc>
          <w:tcPr>
            <w:tcW w:w="1810" w:type="dxa"/>
            <w:vMerge w:val="restart"/>
            <w:tcBorders>
              <w:tl2br w:val="nil"/>
              <w:tr2bl w:val="nil"/>
            </w:tcBorders>
            <w:noWrap w:val="0"/>
            <w:vAlign w:val="center"/>
          </w:tcPr>
          <w:p>
            <w:pPr>
              <w:spacing w:line="280" w:lineRule="exact"/>
              <w:jc w:val="both"/>
              <w:rPr>
                <w:rFonts w:hint="eastAsia" w:ascii="宋体" w:hAnsi="宋体" w:eastAsia="宋体" w:cs="宋体"/>
                <w:spacing w:val="-6"/>
                <w:sz w:val="21"/>
                <w:szCs w:val="21"/>
                <w:highlight w:val="none"/>
              </w:rPr>
            </w:pPr>
            <w:r>
              <w:rPr>
                <w:rFonts w:hint="eastAsia" w:ascii="宋体" w:hAnsi="宋体" w:eastAsia="宋体" w:cs="宋体"/>
                <w:spacing w:val="-6"/>
                <w:sz w:val="21"/>
                <w:szCs w:val="21"/>
                <w:highlight w:val="none"/>
              </w:rPr>
              <w:t>电子商务平台</w:t>
            </w:r>
          </w:p>
        </w:tc>
        <w:tc>
          <w:tcPr>
            <w:tcW w:w="1231" w:type="dxa"/>
            <w:vMerge w:val="restart"/>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物资部</w:t>
            </w:r>
          </w:p>
        </w:tc>
        <w:tc>
          <w:tcPr>
            <w:tcW w:w="2082" w:type="dxa"/>
            <w:tcBorders>
              <w:tl2br w:val="nil"/>
              <w:tr2bl w:val="nil"/>
            </w:tcBorders>
            <w:noWrap w:val="0"/>
            <w:vAlign w:val="center"/>
          </w:tcPr>
          <w:p>
            <w:pPr>
              <w:spacing w:line="280" w:lineRule="exact"/>
              <w:jc w:val="both"/>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每年第一季度公开。</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380" w:type="dxa"/>
            <w:gridSpan w:val="2"/>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1081" w:type="dxa"/>
            <w:vMerge w:val="continue"/>
            <w:tcBorders>
              <w:tl2br w:val="nil"/>
              <w:tr2bl w:val="nil"/>
            </w:tcBorders>
            <w:noWrap w:val="0"/>
            <w:vAlign w:val="center"/>
          </w:tcPr>
          <w:p>
            <w:pPr>
              <w:adjustRightInd w:val="0"/>
              <w:snapToGrid w:val="0"/>
              <w:spacing w:line="280" w:lineRule="exact"/>
              <w:jc w:val="both"/>
              <w:rPr>
                <w:rFonts w:hint="eastAsia" w:ascii="宋体" w:hAnsi="宋体" w:eastAsia="宋体" w:cs="宋体"/>
                <w:spacing w:val="-6"/>
                <w:sz w:val="21"/>
                <w:szCs w:val="21"/>
                <w:highlight w:val="none"/>
              </w:rPr>
            </w:pPr>
          </w:p>
        </w:tc>
        <w:tc>
          <w:tcPr>
            <w:tcW w:w="1476" w:type="dxa"/>
            <w:tcBorders>
              <w:tl2br w:val="nil"/>
              <w:tr2bl w:val="nil"/>
            </w:tcBorders>
            <w:noWrap w:val="0"/>
            <w:vAlign w:val="center"/>
          </w:tcPr>
          <w:p>
            <w:pPr>
              <w:widowControl/>
              <w:spacing w:line="280" w:lineRule="exact"/>
              <w:jc w:val="both"/>
              <w:textAlignment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采购标准</w:t>
            </w:r>
          </w:p>
        </w:tc>
        <w:tc>
          <w:tcPr>
            <w:tcW w:w="1810" w:type="dxa"/>
            <w:vMerge w:val="continue"/>
            <w:tcBorders>
              <w:tl2br w:val="nil"/>
              <w:tr2bl w:val="nil"/>
            </w:tcBorders>
            <w:noWrap w:val="0"/>
            <w:vAlign w:val="center"/>
          </w:tcPr>
          <w:p>
            <w:pPr>
              <w:spacing w:line="280" w:lineRule="exact"/>
              <w:jc w:val="both"/>
              <w:rPr>
                <w:rFonts w:hint="eastAsia" w:ascii="宋体" w:hAnsi="宋体" w:eastAsia="宋体" w:cs="宋体"/>
                <w:sz w:val="21"/>
                <w:szCs w:val="21"/>
                <w:highlight w:val="none"/>
              </w:rPr>
            </w:pPr>
          </w:p>
        </w:tc>
        <w:tc>
          <w:tcPr>
            <w:tcW w:w="1231"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082" w:type="dxa"/>
            <w:tcBorders>
              <w:tl2br w:val="nil"/>
              <w:tr2bl w:val="nil"/>
            </w:tcBorders>
            <w:noWrap w:val="0"/>
            <w:vAlign w:val="center"/>
          </w:tcPr>
          <w:p>
            <w:pPr>
              <w:spacing w:line="280" w:lineRule="exact"/>
              <w:jc w:val="both"/>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总部不定期更新</w:t>
            </w:r>
            <w:r>
              <w:rPr>
                <w:rFonts w:hint="eastAsia" w:ascii="宋体" w:hAnsi="宋体" w:eastAsia="宋体" w:cs="宋体"/>
                <w:sz w:val="21"/>
                <w:szCs w:val="21"/>
                <w:highlight w:val="none"/>
                <w:lang w:eastAsia="zh-CN"/>
              </w:rPr>
              <w:t>公开。</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380" w:type="dxa"/>
            <w:gridSpan w:val="2"/>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1081" w:type="dxa"/>
            <w:vMerge w:val="continue"/>
            <w:tcBorders>
              <w:tl2br w:val="nil"/>
              <w:tr2bl w:val="nil"/>
            </w:tcBorders>
            <w:noWrap w:val="0"/>
            <w:vAlign w:val="center"/>
          </w:tcPr>
          <w:p>
            <w:pPr>
              <w:adjustRightInd w:val="0"/>
              <w:snapToGrid w:val="0"/>
              <w:spacing w:line="280" w:lineRule="exact"/>
              <w:jc w:val="both"/>
              <w:rPr>
                <w:rFonts w:hint="eastAsia" w:ascii="宋体" w:hAnsi="宋体" w:eastAsia="宋体" w:cs="宋体"/>
                <w:spacing w:val="-6"/>
                <w:sz w:val="21"/>
                <w:szCs w:val="21"/>
                <w:highlight w:val="none"/>
              </w:rPr>
            </w:pPr>
          </w:p>
        </w:tc>
        <w:tc>
          <w:tcPr>
            <w:tcW w:w="1476" w:type="dxa"/>
            <w:tcBorders>
              <w:tl2br w:val="nil"/>
              <w:tr2bl w:val="nil"/>
            </w:tcBorders>
            <w:noWrap w:val="0"/>
            <w:vAlign w:val="center"/>
          </w:tcPr>
          <w:p>
            <w:pPr>
              <w:widowControl/>
              <w:spacing w:line="280" w:lineRule="exact"/>
              <w:jc w:val="both"/>
              <w:textAlignment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供应商不良行为处理情况的通报</w:t>
            </w:r>
          </w:p>
        </w:tc>
        <w:tc>
          <w:tcPr>
            <w:tcW w:w="1810" w:type="dxa"/>
            <w:vMerge w:val="continue"/>
            <w:tcBorders>
              <w:tl2br w:val="nil"/>
              <w:tr2bl w:val="nil"/>
            </w:tcBorders>
            <w:noWrap w:val="0"/>
            <w:vAlign w:val="center"/>
          </w:tcPr>
          <w:p>
            <w:pPr>
              <w:spacing w:line="280" w:lineRule="exact"/>
              <w:jc w:val="both"/>
              <w:rPr>
                <w:rFonts w:hint="eastAsia" w:ascii="宋体" w:hAnsi="宋体" w:eastAsia="宋体" w:cs="宋体"/>
                <w:sz w:val="21"/>
                <w:szCs w:val="21"/>
                <w:highlight w:val="none"/>
              </w:rPr>
            </w:pPr>
          </w:p>
        </w:tc>
        <w:tc>
          <w:tcPr>
            <w:tcW w:w="1231" w:type="dxa"/>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2082" w:type="dxa"/>
            <w:tcBorders>
              <w:tl2br w:val="nil"/>
              <w:tr2bl w:val="nil"/>
            </w:tcBorders>
            <w:noWrap w:val="0"/>
            <w:vAlign w:val="center"/>
          </w:tcPr>
          <w:p>
            <w:pPr>
              <w:spacing w:line="280" w:lineRule="exact"/>
              <w:jc w:val="both"/>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每年2、5、8、11月</w:t>
            </w:r>
            <w:r>
              <w:rPr>
                <w:rFonts w:hint="eastAsia" w:ascii="宋体" w:hAnsi="宋体" w:eastAsia="宋体" w:cs="宋体"/>
                <w:sz w:val="21"/>
                <w:szCs w:val="21"/>
                <w:highlight w:val="none"/>
                <w:lang w:eastAsia="zh-CN"/>
              </w:rPr>
              <w:t>公开。</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1393" w:hRule="atLeast"/>
          <w:jc w:val="center"/>
        </w:trPr>
        <w:tc>
          <w:tcPr>
            <w:tcW w:w="1380" w:type="dxa"/>
            <w:gridSpan w:val="2"/>
            <w:vMerge w:val="restart"/>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建设经营</w:t>
            </w:r>
          </w:p>
        </w:tc>
        <w:tc>
          <w:tcPr>
            <w:tcW w:w="1081" w:type="dxa"/>
            <w:vMerge w:val="restart"/>
            <w:tcBorders>
              <w:tl2br w:val="nil"/>
              <w:tr2bl w:val="nil"/>
            </w:tcBorders>
            <w:noWrap w:val="0"/>
            <w:vAlign w:val="center"/>
          </w:tcPr>
          <w:p>
            <w:pPr>
              <w:adjustRightInd w:val="0"/>
              <w:snapToGrid w:val="0"/>
              <w:spacing w:line="280" w:lineRule="exact"/>
              <w:jc w:val="both"/>
              <w:rPr>
                <w:rFonts w:hint="eastAsia" w:ascii="宋体" w:hAnsi="宋体" w:eastAsia="宋体" w:cs="宋体"/>
                <w:spacing w:val="-6"/>
                <w:sz w:val="21"/>
                <w:szCs w:val="21"/>
                <w:highlight w:val="none"/>
              </w:rPr>
            </w:pPr>
            <w:r>
              <w:rPr>
                <w:rFonts w:hint="eastAsia" w:ascii="宋体" w:hAnsi="宋体" w:eastAsia="宋体" w:cs="宋体"/>
                <w:spacing w:val="-6"/>
                <w:sz w:val="21"/>
                <w:szCs w:val="21"/>
                <w:highlight w:val="none"/>
              </w:rPr>
              <w:t>工程建设环评水保信息</w:t>
            </w:r>
          </w:p>
        </w:tc>
        <w:tc>
          <w:tcPr>
            <w:tcW w:w="1476" w:type="dxa"/>
            <w:tcBorders>
              <w:bottom w:val="single" w:color="auto" w:sz="4" w:space="0"/>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电网项目竣工环境保护、水土保持设施验收信息公示</w:t>
            </w:r>
          </w:p>
        </w:tc>
        <w:tc>
          <w:tcPr>
            <w:tcW w:w="1810" w:type="dxa"/>
            <w:tcBorders>
              <w:bottom w:val="single" w:color="auto" w:sz="4" w:space="0"/>
              <w:tl2br w:val="nil"/>
              <w:tr2bl w:val="nil"/>
            </w:tcBorders>
            <w:noWrap w:val="0"/>
            <w:vAlign w:val="center"/>
          </w:tcPr>
          <w:p>
            <w:pPr>
              <w:spacing w:line="280" w:lineRule="exact"/>
              <w:jc w:val="both"/>
              <w:rPr>
                <w:rFonts w:hint="eastAsia" w:ascii="宋体" w:hAnsi="宋体" w:eastAsia="宋体" w:cs="宋体"/>
                <w:spacing w:val="-6"/>
                <w:sz w:val="21"/>
                <w:szCs w:val="21"/>
                <w:highlight w:val="none"/>
              </w:rPr>
            </w:pPr>
            <w:r>
              <w:rPr>
                <w:rFonts w:hint="eastAsia" w:ascii="宋体" w:hAnsi="宋体" w:eastAsia="宋体" w:cs="宋体"/>
                <w:spacing w:val="-6"/>
                <w:sz w:val="21"/>
                <w:szCs w:val="21"/>
                <w:highlight w:val="none"/>
                <w:lang w:eastAsia="zh-CN"/>
              </w:rPr>
              <w:t>对外门户网站</w:t>
            </w:r>
          </w:p>
        </w:tc>
        <w:tc>
          <w:tcPr>
            <w:tcW w:w="1231" w:type="dxa"/>
            <w:tcBorders>
              <w:tl2br w:val="nil"/>
              <w:tr2bl w:val="nil"/>
            </w:tcBorders>
            <w:noWrap w:val="0"/>
            <w:vAlign w:val="center"/>
          </w:tcPr>
          <w:p>
            <w:pPr>
              <w:spacing w:line="280" w:lineRule="exact"/>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建设部</w:t>
            </w:r>
          </w:p>
        </w:tc>
        <w:tc>
          <w:tcPr>
            <w:tcW w:w="2082" w:type="dxa"/>
            <w:tcBorders>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通过验收后</w:t>
            </w:r>
            <w:r>
              <w:rPr>
                <w:rFonts w:hint="eastAsia" w:ascii="宋体" w:hAnsi="宋体" w:eastAsia="宋体" w:cs="宋体"/>
                <w:sz w:val="21"/>
                <w:szCs w:val="21"/>
                <w:highlight w:val="none"/>
                <w:lang w:val="en-US" w:eastAsia="zh-CN"/>
              </w:rPr>
              <w:t>5个工作日内公开，</w:t>
            </w:r>
            <w:r>
              <w:rPr>
                <w:rFonts w:hint="eastAsia" w:ascii="宋体" w:hAnsi="宋体" w:eastAsia="宋体" w:cs="宋体"/>
                <w:sz w:val="21"/>
                <w:szCs w:val="21"/>
                <w:highlight w:val="none"/>
                <w:lang w:eastAsia="zh-CN"/>
              </w:rPr>
              <w:t>每月一次。</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1380" w:type="dxa"/>
            <w:gridSpan w:val="2"/>
            <w:vMerge w:val="continue"/>
            <w:tcBorders>
              <w:tl2br w:val="nil"/>
              <w:tr2bl w:val="nil"/>
            </w:tcBorders>
            <w:noWrap w:val="0"/>
            <w:vAlign w:val="center"/>
          </w:tcPr>
          <w:p>
            <w:pPr>
              <w:spacing w:line="280" w:lineRule="exact"/>
              <w:jc w:val="center"/>
              <w:rPr>
                <w:rFonts w:hint="eastAsia" w:ascii="宋体" w:hAnsi="宋体" w:eastAsia="宋体" w:cs="宋体"/>
                <w:sz w:val="21"/>
                <w:szCs w:val="21"/>
                <w:highlight w:val="none"/>
              </w:rPr>
            </w:pPr>
          </w:p>
        </w:tc>
        <w:tc>
          <w:tcPr>
            <w:tcW w:w="1081" w:type="dxa"/>
            <w:vMerge w:val="continue"/>
            <w:tcBorders>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rPr>
            </w:pPr>
          </w:p>
        </w:tc>
        <w:tc>
          <w:tcPr>
            <w:tcW w:w="1476" w:type="dxa"/>
            <w:tcBorders>
              <w:top w:val="single" w:color="auto" w:sz="4" w:space="0"/>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电网项目环境影响报告公示</w:t>
            </w:r>
          </w:p>
        </w:tc>
        <w:tc>
          <w:tcPr>
            <w:tcW w:w="1810" w:type="dxa"/>
            <w:tcBorders>
              <w:top w:val="single" w:color="auto" w:sz="4" w:space="0"/>
              <w:tl2br w:val="nil"/>
              <w:tr2bl w:val="nil"/>
            </w:tcBorders>
            <w:noWrap w:val="0"/>
            <w:vAlign w:val="center"/>
          </w:tcPr>
          <w:p>
            <w:pPr>
              <w:spacing w:line="280" w:lineRule="exact"/>
              <w:jc w:val="both"/>
              <w:rPr>
                <w:rFonts w:hint="eastAsia" w:ascii="宋体" w:hAnsi="宋体" w:eastAsia="宋体" w:cs="宋体"/>
                <w:spacing w:val="-6"/>
                <w:sz w:val="21"/>
                <w:szCs w:val="21"/>
                <w:highlight w:val="none"/>
                <w:lang w:eastAsia="zh-CN"/>
              </w:rPr>
            </w:pPr>
            <w:r>
              <w:rPr>
                <w:rFonts w:hint="eastAsia" w:ascii="宋体" w:hAnsi="宋体" w:eastAsia="宋体" w:cs="宋体"/>
                <w:spacing w:val="-6"/>
                <w:sz w:val="21"/>
                <w:szCs w:val="21"/>
                <w:highlight w:val="none"/>
              </w:rPr>
              <w:t>对外门户网站</w:t>
            </w:r>
          </w:p>
        </w:tc>
        <w:tc>
          <w:tcPr>
            <w:tcW w:w="1231" w:type="dxa"/>
            <w:tcBorders>
              <w:tl2br w:val="nil"/>
              <w:tr2bl w:val="nil"/>
            </w:tcBorders>
            <w:noWrap w:val="0"/>
            <w:vAlign w:val="center"/>
          </w:tcPr>
          <w:p>
            <w:pPr>
              <w:spacing w:line="280" w:lineRule="exact"/>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发展部</w:t>
            </w:r>
          </w:p>
        </w:tc>
        <w:tc>
          <w:tcPr>
            <w:tcW w:w="2082" w:type="dxa"/>
            <w:tcBorders>
              <w:tl2br w:val="nil"/>
              <w:tr2bl w:val="nil"/>
            </w:tcBorders>
            <w:noWrap w:val="0"/>
            <w:vAlign w:val="center"/>
          </w:tcPr>
          <w:p>
            <w:pPr>
              <w:adjustRightInd w:val="0"/>
              <w:snapToGrid w:val="0"/>
              <w:spacing w:line="280" w:lineRule="exact"/>
              <w:jc w:val="both"/>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报告形成后5个工作日内公开</w:t>
            </w:r>
            <w:r>
              <w:rPr>
                <w:rFonts w:hint="eastAsia" w:ascii="宋体" w:hAnsi="宋体" w:eastAsia="宋体" w:cs="宋体"/>
                <w:sz w:val="21"/>
                <w:szCs w:val="21"/>
                <w:highlight w:val="none"/>
                <w:lang w:eastAsia="zh-CN"/>
              </w:rPr>
              <w:t>。</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700" w:hRule="atLeast"/>
          <w:jc w:val="center"/>
        </w:trPr>
        <w:tc>
          <w:tcPr>
            <w:tcW w:w="1380" w:type="dxa"/>
            <w:gridSpan w:val="2"/>
            <w:vMerge w:val="restart"/>
            <w:tcBorders>
              <w:tl2br w:val="nil"/>
              <w:tr2bl w:val="nil"/>
            </w:tcBorders>
            <w:noWrap w:val="0"/>
            <w:vAlign w:val="center"/>
          </w:tcPr>
          <w:p>
            <w:pPr>
              <w:adjustRightInd w:val="0"/>
              <w:snapToGrid w:val="0"/>
              <w:spacing w:line="28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其他信息</w:t>
            </w:r>
          </w:p>
        </w:tc>
        <w:tc>
          <w:tcPr>
            <w:tcW w:w="2557" w:type="dxa"/>
            <w:gridSpan w:val="2"/>
            <w:tcBorders>
              <w:tl2br w:val="nil"/>
              <w:tr2bl w:val="nil"/>
            </w:tcBorders>
            <w:noWrap w:val="0"/>
            <w:vAlign w:val="center"/>
          </w:tcPr>
          <w:p>
            <w:pPr>
              <w:widowControl/>
              <w:spacing w:line="280" w:lineRule="exact"/>
              <w:jc w:val="both"/>
              <w:textAlignment w:val="center"/>
              <w:rPr>
                <w:rFonts w:hint="eastAsia" w:ascii="宋体" w:hAnsi="宋体" w:eastAsia="宋体" w:cs="宋体"/>
                <w:sz w:val="21"/>
                <w:szCs w:val="21"/>
                <w:highlight w:val="none"/>
              </w:rPr>
            </w:pPr>
            <w:r>
              <w:rPr>
                <w:rFonts w:hint="eastAsia" w:ascii="宋体" w:hAnsi="宋体" w:eastAsia="宋体" w:cs="宋体"/>
                <w:kern w:val="0"/>
                <w:sz w:val="21"/>
                <w:szCs w:val="21"/>
                <w:highlight w:val="none"/>
              </w:rPr>
              <w:t>人才招聘公告及录用</w:t>
            </w:r>
          </w:p>
        </w:tc>
        <w:tc>
          <w:tcPr>
            <w:tcW w:w="1810" w:type="dxa"/>
            <w:tcBorders>
              <w:tl2br w:val="nil"/>
              <w:tr2bl w:val="nil"/>
            </w:tcBorders>
            <w:noWrap w:val="0"/>
            <w:vAlign w:val="center"/>
          </w:tcPr>
          <w:p>
            <w:pPr>
              <w:spacing w:line="280" w:lineRule="exact"/>
              <w:jc w:val="both"/>
              <w:rPr>
                <w:rFonts w:hint="eastAsia" w:ascii="宋体" w:hAnsi="宋体" w:eastAsia="宋体" w:cs="宋体"/>
                <w:spacing w:val="-6"/>
                <w:sz w:val="21"/>
                <w:szCs w:val="21"/>
                <w:highlight w:val="none"/>
              </w:rPr>
            </w:pPr>
            <w:r>
              <w:rPr>
                <w:rFonts w:hint="eastAsia" w:ascii="宋体" w:hAnsi="宋体" w:eastAsia="宋体" w:cs="宋体"/>
                <w:spacing w:val="-6"/>
                <w:sz w:val="21"/>
                <w:szCs w:val="21"/>
                <w:highlight w:val="none"/>
                <w:lang w:val="en-US" w:eastAsia="zh-CN"/>
              </w:rPr>
              <w:t>国网人才招聘平台</w:t>
            </w:r>
          </w:p>
        </w:tc>
        <w:tc>
          <w:tcPr>
            <w:tcW w:w="1231" w:type="dxa"/>
            <w:tcBorders>
              <w:tl2br w:val="nil"/>
              <w:tr2bl w:val="nil"/>
            </w:tcBorders>
            <w:noWrap w:val="0"/>
            <w:vAlign w:val="center"/>
          </w:tcPr>
          <w:p>
            <w:pPr>
              <w:widowControl/>
              <w:spacing w:line="280" w:lineRule="exact"/>
              <w:jc w:val="center"/>
              <w:textAlignment w:val="center"/>
              <w:rPr>
                <w:rFonts w:hint="eastAsia" w:ascii="宋体" w:hAnsi="宋体" w:eastAsia="宋体" w:cs="宋体"/>
                <w:sz w:val="21"/>
                <w:szCs w:val="21"/>
                <w:highlight w:val="none"/>
              </w:rPr>
            </w:pPr>
            <w:r>
              <w:rPr>
                <w:rFonts w:hint="eastAsia" w:ascii="宋体" w:hAnsi="宋体" w:eastAsia="宋体" w:cs="宋体"/>
                <w:kern w:val="0"/>
                <w:sz w:val="21"/>
                <w:szCs w:val="21"/>
                <w:highlight w:val="none"/>
                <w:lang w:val="en-US" w:eastAsia="zh-CN"/>
              </w:rPr>
              <w:t>组织</w:t>
            </w:r>
            <w:r>
              <w:rPr>
                <w:rFonts w:hint="eastAsia" w:ascii="宋体" w:hAnsi="宋体" w:eastAsia="宋体" w:cs="宋体"/>
                <w:kern w:val="0"/>
                <w:sz w:val="21"/>
                <w:szCs w:val="21"/>
                <w:highlight w:val="none"/>
                <w:lang w:eastAsia="zh-CN"/>
              </w:rPr>
              <w:t>部</w:t>
            </w:r>
          </w:p>
        </w:tc>
        <w:tc>
          <w:tcPr>
            <w:tcW w:w="2082" w:type="dxa"/>
            <w:tcBorders>
              <w:tl2br w:val="nil"/>
              <w:tr2bl w:val="nil"/>
            </w:tcBorders>
            <w:noWrap w:val="0"/>
            <w:vAlign w:val="center"/>
          </w:tcPr>
          <w:p>
            <w:pPr>
              <w:widowControl/>
              <w:spacing w:line="280" w:lineRule="exact"/>
              <w:jc w:val="both"/>
              <w:textAlignment w:val="center"/>
              <w:rPr>
                <w:rFonts w:hint="eastAsia" w:ascii="宋体" w:hAnsi="宋体" w:eastAsia="宋体" w:cs="宋体"/>
                <w:sz w:val="21"/>
                <w:szCs w:val="21"/>
                <w:highlight w:val="none"/>
              </w:rPr>
            </w:pPr>
            <w:r>
              <w:rPr>
                <w:rFonts w:hint="eastAsia" w:ascii="宋体" w:hAnsi="宋体" w:eastAsia="宋体" w:cs="宋体"/>
                <w:kern w:val="0"/>
                <w:sz w:val="21"/>
                <w:szCs w:val="21"/>
                <w:highlight w:val="none"/>
                <w:lang w:eastAsia="zh-CN"/>
              </w:rPr>
              <w:t>根据总部招聘工作安排公开。</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1073" w:hRule="atLeast"/>
          <w:jc w:val="center"/>
        </w:trPr>
        <w:tc>
          <w:tcPr>
            <w:tcW w:w="1380" w:type="dxa"/>
            <w:gridSpan w:val="2"/>
            <w:vMerge w:val="continue"/>
            <w:tcBorders>
              <w:tl2br w:val="nil"/>
              <w:tr2bl w:val="nil"/>
            </w:tcBorders>
            <w:noWrap w:val="0"/>
            <w:vAlign w:val="center"/>
          </w:tcPr>
          <w:p>
            <w:pPr>
              <w:adjustRightInd w:val="0"/>
              <w:snapToGrid w:val="0"/>
              <w:spacing w:line="280" w:lineRule="exact"/>
              <w:jc w:val="center"/>
              <w:rPr>
                <w:rFonts w:hint="eastAsia" w:ascii="宋体" w:hAnsi="宋体" w:eastAsia="宋体" w:cs="宋体"/>
                <w:sz w:val="21"/>
                <w:szCs w:val="21"/>
                <w:highlight w:val="none"/>
              </w:rPr>
            </w:pPr>
          </w:p>
        </w:tc>
        <w:tc>
          <w:tcPr>
            <w:tcW w:w="2557" w:type="dxa"/>
            <w:gridSpan w:val="2"/>
            <w:tcBorders>
              <w:tl2br w:val="nil"/>
              <w:tr2bl w:val="nil"/>
            </w:tcBorders>
            <w:noWrap w:val="0"/>
            <w:vAlign w:val="center"/>
          </w:tcPr>
          <w:p>
            <w:pPr>
              <w:widowControl/>
              <w:spacing w:line="280" w:lineRule="exact"/>
              <w:jc w:val="both"/>
              <w:textAlignment w:val="center"/>
              <w:rPr>
                <w:rFonts w:hint="eastAsia" w:ascii="宋体" w:hAnsi="宋体" w:eastAsia="宋体" w:cs="宋体"/>
                <w:kern w:val="0"/>
                <w:sz w:val="21"/>
                <w:szCs w:val="21"/>
                <w:highlight w:val="none"/>
              </w:rPr>
            </w:pPr>
            <w:r>
              <w:rPr>
                <w:rFonts w:hint="eastAsia" w:ascii="宋体" w:hAnsi="宋体" w:eastAsia="宋体" w:cs="宋体"/>
                <w:sz w:val="21"/>
                <w:szCs w:val="21"/>
                <w:highlight w:val="none"/>
              </w:rPr>
              <w:t>经公司信息公开领导小组决定，应当主动公开的相关信息</w:t>
            </w:r>
          </w:p>
        </w:tc>
        <w:tc>
          <w:tcPr>
            <w:tcW w:w="5123" w:type="dxa"/>
            <w:gridSpan w:val="3"/>
            <w:tcBorders>
              <w:tl2br w:val="nil"/>
              <w:tr2bl w:val="nil"/>
            </w:tcBorders>
            <w:noWrap w:val="0"/>
            <w:vAlign w:val="center"/>
          </w:tcPr>
          <w:p>
            <w:pPr>
              <w:widowControl/>
              <w:spacing w:line="280" w:lineRule="exact"/>
              <w:jc w:val="both"/>
              <w:textAlignment w:val="center"/>
              <w:rPr>
                <w:rFonts w:hint="eastAsia" w:ascii="宋体" w:hAnsi="宋体" w:eastAsia="宋体" w:cs="宋体"/>
                <w:kern w:val="0"/>
                <w:sz w:val="21"/>
                <w:szCs w:val="21"/>
                <w:highlight w:val="none"/>
                <w:lang w:eastAsia="zh-CN"/>
              </w:rPr>
            </w:pPr>
            <w:r>
              <w:rPr>
                <w:rFonts w:hint="eastAsia" w:ascii="宋体" w:hAnsi="宋体" w:eastAsia="宋体" w:cs="宋体"/>
                <w:sz w:val="21"/>
                <w:szCs w:val="21"/>
                <w:highlight w:val="none"/>
              </w:rPr>
              <w:t>根据具体情况确定</w:t>
            </w:r>
            <w:r>
              <w:rPr>
                <w:rFonts w:hint="eastAsia" w:ascii="宋体" w:hAnsi="宋体" w:eastAsia="宋体" w:cs="宋体"/>
                <w:sz w:val="21"/>
                <w:szCs w:val="21"/>
                <w:highlight w:val="none"/>
                <w:lang w:eastAsia="zh-CN"/>
              </w:rPr>
              <w:t>。</w:t>
            </w:r>
          </w:p>
        </w:tc>
      </w:tr>
    </w:tbl>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266F16"/>
    <w:rsid w:val="00157B62"/>
    <w:rsid w:val="002F4786"/>
    <w:rsid w:val="006F566B"/>
    <w:rsid w:val="00757994"/>
    <w:rsid w:val="007C5ADA"/>
    <w:rsid w:val="00C12191"/>
    <w:rsid w:val="00C21DED"/>
    <w:rsid w:val="00D63364"/>
    <w:rsid w:val="01015FCE"/>
    <w:rsid w:val="01040F16"/>
    <w:rsid w:val="011752BF"/>
    <w:rsid w:val="0121409E"/>
    <w:rsid w:val="013D2BD1"/>
    <w:rsid w:val="014E015D"/>
    <w:rsid w:val="016C0F74"/>
    <w:rsid w:val="018953CB"/>
    <w:rsid w:val="01A5085C"/>
    <w:rsid w:val="01A90B04"/>
    <w:rsid w:val="01AB4B07"/>
    <w:rsid w:val="01BF00A1"/>
    <w:rsid w:val="01C265AA"/>
    <w:rsid w:val="01CD008B"/>
    <w:rsid w:val="01D04D72"/>
    <w:rsid w:val="01FE2A49"/>
    <w:rsid w:val="021F5D82"/>
    <w:rsid w:val="02612F16"/>
    <w:rsid w:val="026A20A0"/>
    <w:rsid w:val="026C2291"/>
    <w:rsid w:val="02B83C9C"/>
    <w:rsid w:val="02D33B3E"/>
    <w:rsid w:val="02DA63AB"/>
    <w:rsid w:val="03256A1B"/>
    <w:rsid w:val="034E17EA"/>
    <w:rsid w:val="03723978"/>
    <w:rsid w:val="03791F36"/>
    <w:rsid w:val="03801B39"/>
    <w:rsid w:val="0384124E"/>
    <w:rsid w:val="03A63815"/>
    <w:rsid w:val="03B74B74"/>
    <w:rsid w:val="03F31FAE"/>
    <w:rsid w:val="04133118"/>
    <w:rsid w:val="04254AA1"/>
    <w:rsid w:val="04383162"/>
    <w:rsid w:val="043F5172"/>
    <w:rsid w:val="04665D06"/>
    <w:rsid w:val="047C1E79"/>
    <w:rsid w:val="049D1703"/>
    <w:rsid w:val="04CD7587"/>
    <w:rsid w:val="053F29AE"/>
    <w:rsid w:val="056C5A56"/>
    <w:rsid w:val="05777D9A"/>
    <w:rsid w:val="059F0C9A"/>
    <w:rsid w:val="05BF2B88"/>
    <w:rsid w:val="05F6122F"/>
    <w:rsid w:val="05FC036D"/>
    <w:rsid w:val="05FC1AAB"/>
    <w:rsid w:val="05FC3039"/>
    <w:rsid w:val="060C09E9"/>
    <w:rsid w:val="06351F83"/>
    <w:rsid w:val="063865B0"/>
    <w:rsid w:val="06400B59"/>
    <w:rsid w:val="065E2D84"/>
    <w:rsid w:val="066B110E"/>
    <w:rsid w:val="067D7CC6"/>
    <w:rsid w:val="068B6AED"/>
    <w:rsid w:val="06A55955"/>
    <w:rsid w:val="06B82F3D"/>
    <w:rsid w:val="06BB71D3"/>
    <w:rsid w:val="06E6737A"/>
    <w:rsid w:val="07062211"/>
    <w:rsid w:val="07220082"/>
    <w:rsid w:val="0745668E"/>
    <w:rsid w:val="07490594"/>
    <w:rsid w:val="075A7378"/>
    <w:rsid w:val="07670037"/>
    <w:rsid w:val="07A64D78"/>
    <w:rsid w:val="07D56A21"/>
    <w:rsid w:val="07FB6D5A"/>
    <w:rsid w:val="0835708F"/>
    <w:rsid w:val="08556BCB"/>
    <w:rsid w:val="08767EFD"/>
    <w:rsid w:val="088D11B1"/>
    <w:rsid w:val="08DE57D2"/>
    <w:rsid w:val="091771E5"/>
    <w:rsid w:val="091920CE"/>
    <w:rsid w:val="092B57C5"/>
    <w:rsid w:val="09394240"/>
    <w:rsid w:val="09445BD0"/>
    <w:rsid w:val="095F3C81"/>
    <w:rsid w:val="096F6088"/>
    <w:rsid w:val="098C5625"/>
    <w:rsid w:val="099810D7"/>
    <w:rsid w:val="09F23607"/>
    <w:rsid w:val="09F31CB4"/>
    <w:rsid w:val="0A4201FE"/>
    <w:rsid w:val="0A627A0A"/>
    <w:rsid w:val="0A6B6E52"/>
    <w:rsid w:val="0A7926C6"/>
    <w:rsid w:val="0A9312F2"/>
    <w:rsid w:val="0A9B417C"/>
    <w:rsid w:val="0AD21A56"/>
    <w:rsid w:val="0B05616A"/>
    <w:rsid w:val="0B2E71DD"/>
    <w:rsid w:val="0B342B86"/>
    <w:rsid w:val="0B3F4F6B"/>
    <w:rsid w:val="0B681C93"/>
    <w:rsid w:val="0B7C493E"/>
    <w:rsid w:val="0B8C7DDF"/>
    <w:rsid w:val="0B9F7375"/>
    <w:rsid w:val="0BB26130"/>
    <w:rsid w:val="0BFA5362"/>
    <w:rsid w:val="0C1C4E80"/>
    <w:rsid w:val="0C3F0F49"/>
    <w:rsid w:val="0C411C7E"/>
    <w:rsid w:val="0C470F2A"/>
    <w:rsid w:val="0C4F77FE"/>
    <w:rsid w:val="0C5B2A01"/>
    <w:rsid w:val="0C5E61F5"/>
    <w:rsid w:val="0CA54FB4"/>
    <w:rsid w:val="0CE71AA2"/>
    <w:rsid w:val="0CF66C99"/>
    <w:rsid w:val="0CFC0B7C"/>
    <w:rsid w:val="0D3B6AAE"/>
    <w:rsid w:val="0D6C07B7"/>
    <w:rsid w:val="0DB42A8A"/>
    <w:rsid w:val="0DC94A3E"/>
    <w:rsid w:val="0DE63071"/>
    <w:rsid w:val="0E0F3B66"/>
    <w:rsid w:val="0E3A79BC"/>
    <w:rsid w:val="0E413B01"/>
    <w:rsid w:val="0E530E5A"/>
    <w:rsid w:val="0EEA3768"/>
    <w:rsid w:val="0EF840F2"/>
    <w:rsid w:val="0EFA48F4"/>
    <w:rsid w:val="0EFE367F"/>
    <w:rsid w:val="0EFE450A"/>
    <w:rsid w:val="0F013426"/>
    <w:rsid w:val="0F2727A4"/>
    <w:rsid w:val="0F396B04"/>
    <w:rsid w:val="0F3A1F27"/>
    <w:rsid w:val="0F4065BC"/>
    <w:rsid w:val="0F6624A2"/>
    <w:rsid w:val="0F735B72"/>
    <w:rsid w:val="0F89676D"/>
    <w:rsid w:val="0F8A2C33"/>
    <w:rsid w:val="0FA94115"/>
    <w:rsid w:val="0FAB6C92"/>
    <w:rsid w:val="0FE96844"/>
    <w:rsid w:val="0FED55C9"/>
    <w:rsid w:val="10011BFE"/>
    <w:rsid w:val="10240445"/>
    <w:rsid w:val="103428EC"/>
    <w:rsid w:val="103D0521"/>
    <w:rsid w:val="103D6877"/>
    <w:rsid w:val="104F21AC"/>
    <w:rsid w:val="106C00F3"/>
    <w:rsid w:val="107D57FB"/>
    <w:rsid w:val="10A75CB6"/>
    <w:rsid w:val="10E8569C"/>
    <w:rsid w:val="1106369A"/>
    <w:rsid w:val="110736DF"/>
    <w:rsid w:val="11401E3E"/>
    <w:rsid w:val="11436979"/>
    <w:rsid w:val="11543C6D"/>
    <w:rsid w:val="115A4CEE"/>
    <w:rsid w:val="11912C4A"/>
    <w:rsid w:val="11A56EF9"/>
    <w:rsid w:val="11AD1B21"/>
    <w:rsid w:val="11AD6CB7"/>
    <w:rsid w:val="120C1BDE"/>
    <w:rsid w:val="121D323A"/>
    <w:rsid w:val="12495A2B"/>
    <w:rsid w:val="126E5B1D"/>
    <w:rsid w:val="12831FFA"/>
    <w:rsid w:val="12C236F8"/>
    <w:rsid w:val="12C66485"/>
    <w:rsid w:val="12F149D9"/>
    <w:rsid w:val="12F8114E"/>
    <w:rsid w:val="130710D0"/>
    <w:rsid w:val="133731E0"/>
    <w:rsid w:val="133820C0"/>
    <w:rsid w:val="13595EB2"/>
    <w:rsid w:val="135D3F0F"/>
    <w:rsid w:val="13701897"/>
    <w:rsid w:val="13970CA9"/>
    <w:rsid w:val="13B85E00"/>
    <w:rsid w:val="13C452DB"/>
    <w:rsid w:val="141B0597"/>
    <w:rsid w:val="141D4DCA"/>
    <w:rsid w:val="14474578"/>
    <w:rsid w:val="14480E60"/>
    <w:rsid w:val="144B41DF"/>
    <w:rsid w:val="144C2FF5"/>
    <w:rsid w:val="144F1182"/>
    <w:rsid w:val="1468187F"/>
    <w:rsid w:val="14A35C78"/>
    <w:rsid w:val="14AA5ECA"/>
    <w:rsid w:val="14CA7020"/>
    <w:rsid w:val="14EB08FA"/>
    <w:rsid w:val="15167725"/>
    <w:rsid w:val="152309DE"/>
    <w:rsid w:val="152B0431"/>
    <w:rsid w:val="15445871"/>
    <w:rsid w:val="155934B2"/>
    <w:rsid w:val="15607A0C"/>
    <w:rsid w:val="156C5F4D"/>
    <w:rsid w:val="15715CF5"/>
    <w:rsid w:val="1576458D"/>
    <w:rsid w:val="158439E2"/>
    <w:rsid w:val="15865751"/>
    <w:rsid w:val="15B0294A"/>
    <w:rsid w:val="15CF1EE4"/>
    <w:rsid w:val="15D15F85"/>
    <w:rsid w:val="15E01CD5"/>
    <w:rsid w:val="1621157A"/>
    <w:rsid w:val="16272777"/>
    <w:rsid w:val="1638649B"/>
    <w:rsid w:val="163E671F"/>
    <w:rsid w:val="164C0404"/>
    <w:rsid w:val="164E7B21"/>
    <w:rsid w:val="1652366D"/>
    <w:rsid w:val="16676690"/>
    <w:rsid w:val="167A787D"/>
    <w:rsid w:val="16A213A2"/>
    <w:rsid w:val="16B059E0"/>
    <w:rsid w:val="170A2F8A"/>
    <w:rsid w:val="17327F73"/>
    <w:rsid w:val="17351380"/>
    <w:rsid w:val="173A1AA6"/>
    <w:rsid w:val="174167E4"/>
    <w:rsid w:val="174F06FE"/>
    <w:rsid w:val="1779374A"/>
    <w:rsid w:val="1792650D"/>
    <w:rsid w:val="18000AF0"/>
    <w:rsid w:val="187E05ED"/>
    <w:rsid w:val="187E59AE"/>
    <w:rsid w:val="189515FD"/>
    <w:rsid w:val="18A020E0"/>
    <w:rsid w:val="18A0449A"/>
    <w:rsid w:val="19362A73"/>
    <w:rsid w:val="19A74F77"/>
    <w:rsid w:val="19AB25D2"/>
    <w:rsid w:val="19B83A8E"/>
    <w:rsid w:val="19B97812"/>
    <w:rsid w:val="19DA0E77"/>
    <w:rsid w:val="19DA48E2"/>
    <w:rsid w:val="19E95D30"/>
    <w:rsid w:val="1A1B2369"/>
    <w:rsid w:val="1A2A3DF7"/>
    <w:rsid w:val="1A345AB1"/>
    <w:rsid w:val="1A4A028B"/>
    <w:rsid w:val="1A68523C"/>
    <w:rsid w:val="1A7E24A4"/>
    <w:rsid w:val="1A9C4E00"/>
    <w:rsid w:val="1AB81254"/>
    <w:rsid w:val="1AD92B5B"/>
    <w:rsid w:val="1ADF088C"/>
    <w:rsid w:val="1B5C7E55"/>
    <w:rsid w:val="1B5E7538"/>
    <w:rsid w:val="1B60632C"/>
    <w:rsid w:val="1B6B7873"/>
    <w:rsid w:val="1B74403E"/>
    <w:rsid w:val="1B812B65"/>
    <w:rsid w:val="1BB017E1"/>
    <w:rsid w:val="1BCF659F"/>
    <w:rsid w:val="1BE50107"/>
    <w:rsid w:val="1BEE0FF6"/>
    <w:rsid w:val="1C035674"/>
    <w:rsid w:val="1C0B15AB"/>
    <w:rsid w:val="1C4C4329"/>
    <w:rsid w:val="1C537C53"/>
    <w:rsid w:val="1C5925F0"/>
    <w:rsid w:val="1C7C6009"/>
    <w:rsid w:val="1C8E08CA"/>
    <w:rsid w:val="1CD20E2B"/>
    <w:rsid w:val="1CF201A0"/>
    <w:rsid w:val="1CF63EE8"/>
    <w:rsid w:val="1CFA7EC6"/>
    <w:rsid w:val="1D190378"/>
    <w:rsid w:val="1D256C57"/>
    <w:rsid w:val="1D3433B3"/>
    <w:rsid w:val="1D407A34"/>
    <w:rsid w:val="1D5E7202"/>
    <w:rsid w:val="1D7104B4"/>
    <w:rsid w:val="1D7F7F9F"/>
    <w:rsid w:val="1D812AA7"/>
    <w:rsid w:val="1D8E04A8"/>
    <w:rsid w:val="1D90497F"/>
    <w:rsid w:val="1D97742D"/>
    <w:rsid w:val="1DA21F90"/>
    <w:rsid w:val="1DEB6725"/>
    <w:rsid w:val="1E3B5396"/>
    <w:rsid w:val="1EAF49AD"/>
    <w:rsid w:val="1EC2243C"/>
    <w:rsid w:val="1F4B7D89"/>
    <w:rsid w:val="1F4C34EC"/>
    <w:rsid w:val="1F995A96"/>
    <w:rsid w:val="1FA9511A"/>
    <w:rsid w:val="1FE57ADF"/>
    <w:rsid w:val="1FF66CE2"/>
    <w:rsid w:val="201B2FB9"/>
    <w:rsid w:val="202A233B"/>
    <w:rsid w:val="202C6D10"/>
    <w:rsid w:val="204F113B"/>
    <w:rsid w:val="20A75AD3"/>
    <w:rsid w:val="20AB3236"/>
    <w:rsid w:val="20B44F67"/>
    <w:rsid w:val="20B725BC"/>
    <w:rsid w:val="20D06F7F"/>
    <w:rsid w:val="20D90AE3"/>
    <w:rsid w:val="21051F22"/>
    <w:rsid w:val="211C54C3"/>
    <w:rsid w:val="212A2191"/>
    <w:rsid w:val="215913B6"/>
    <w:rsid w:val="21652520"/>
    <w:rsid w:val="21695D2F"/>
    <w:rsid w:val="2180316B"/>
    <w:rsid w:val="21B11F38"/>
    <w:rsid w:val="21E125A0"/>
    <w:rsid w:val="21F968BA"/>
    <w:rsid w:val="22600E44"/>
    <w:rsid w:val="226B5276"/>
    <w:rsid w:val="227631BF"/>
    <w:rsid w:val="228674EF"/>
    <w:rsid w:val="22BD1406"/>
    <w:rsid w:val="22CA6216"/>
    <w:rsid w:val="22E34E93"/>
    <w:rsid w:val="22E97A01"/>
    <w:rsid w:val="22FD244A"/>
    <w:rsid w:val="23152729"/>
    <w:rsid w:val="231751C0"/>
    <w:rsid w:val="23255646"/>
    <w:rsid w:val="23270759"/>
    <w:rsid w:val="235355B2"/>
    <w:rsid w:val="2365446E"/>
    <w:rsid w:val="23666BBC"/>
    <w:rsid w:val="239555E6"/>
    <w:rsid w:val="23A56510"/>
    <w:rsid w:val="23B847C3"/>
    <w:rsid w:val="23B910CE"/>
    <w:rsid w:val="23C6115B"/>
    <w:rsid w:val="23D07AE4"/>
    <w:rsid w:val="23D2796F"/>
    <w:rsid w:val="23E06148"/>
    <w:rsid w:val="23F726EE"/>
    <w:rsid w:val="23F9517E"/>
    <w:rsid w:val="24034794"/>
    <w:rsid w:val="242058E8"/>
    <w:rsid w:val="242D1C63"/>
    <w:rsid w:val="2446729F"/>
    <w:rsid w:val="24617957"/>
    <w:rsid w:val="2464579C"/>
    <w:rsid w:val="248376D2"/>
    <w:rsid w:val="24C4268A"/>
    <w:rsid w:val="250A4569"/>
    <w:rsid w:val="251978EE"/>
    <w:rsid w:val="25294A49"/>
    <w:rsid w:val="2534000E"/>
    <w:rsid w:val="25646FC2"/>
    <w:rsid w:val="257A610C"/>
    <w:rsid w:val="259D54BB"/>
    <w:rsid w:val="25A17373"/>
    <w:rsid w:val="25A249E7"/>
    <w:rsid w:val="25A70847"/>
    <w:rsid w:val="25B81F41"/>
    <w:rsid w:val="25DC44B0"/>
    <w:rsid w:val="25F90277"/>
    <w:rsid w:val="260B4DC6"/>
    <w:rsid w:val="26287F75"/>
    <w:rsid w:val="26320E1F"/>
    <w:rsid w:val="26585FEE"/>
    <w:rsid w:val="26611370"/>
    <w:rsid w:val="268C1AED"/>
    <w:rsid w:val="268D1A04"/>
    <w:rsid w:val="2698018C"/>
    <w:rsid w:val="269E506C"/>
    <w:rsid w:val="26A21881"/>
    <w:rsid w:val="26AE1364"/>
    <w:rsid w:val="26C23687"/>
    <w:rsid w:val="270120E0"/>
    <w:rsid w:val="27391B7B"/>
    <w:rsid w:val="27D96E38"/>
    <w:rsid w:val="27E427A8"/>
    <w:rsid w:val="28002CA6"/>
    <w:rsid w:val="280A6603"/>
    <w:rsid w:val="28137C72"/>
    <w:rsid w:val="28153474"/>
    <w:rsid w:val="281C6425"/>
    <w:rsid w:val="28310ABA"/>
    <w:rsid w:val="28516573"/>
    <w:rsid w:val="28734E1D"/>
    <w:rsid w:val="287B05DB"/>
    <w:rsid w:val="289C1D97"/>
    <w:rsid w:val="28A04818"/>
    <w:rsid w:val="28B35A9F"/>
    <w:rsid w:val="28BE5342"/>
    <w:rsid w:val="28C13109"/>
    <w:rsid w:val="28D301FF"/>
    <w:rsid w:val="28EE1F59"/>
    <w:rsid w:val="2921577A"/>
    <w:rsid w:val="292C270A"/>
    <w:rsid w:val="295A5C61"/>
    <w:rsid w:val="296B5638"/>
    <w:rsid w:val="29B71D58"/>
    <w:rsid w:val="2A1D2AB7"/>
    <w:rsid w:val="2A5C1924"/>
    <w:rsid w:val="2A770415"/>
    <w:rsid w:val="2A892F37"/>
    <w:rsid w:val="2A8C6AE7"/>
    <w:rsid w:val="2AA90FBE"/>
    <w:rsid w:val="2AAB4CB6"/>
    <w:rsid w:val="2ACB004B"/>
    <w:rsid w:val="2ACB185B"/>
    <w:rsid w:val="2AD65852"/>
    <w:rsid w:val="2AFE2F3E"/>
    <w:rsid w:val="2B0325BE"/>
    <w:rsid w:val="2B0F3925"/>
    <w:rsid w:val="2B225E3E"/>
    <w:rsid w:val="2B4E3DC6"/>
    <w:rsid w:val="2B4F784F"/>
    <w:rsid w:val="2B5B3496"/>
    <w:rsid w:val="2B7F6341"/>
    <w:rsid w:val="2B827B29"/>
    <w:rsid w:val="2BAC1564"/>
    <w:rsid w:val="2BAD6DBD"/>
    <w:rsid w:val="2BD13EA7"/>
    <w:rsid w:val="2BFB6BED"/>
    <w:rsid w:val="2C2C1B3A"/>
    <w:rsid w:val="2C371B8E"/>
    <w:rsid w:val="2C5F7330"/>
    <w:rsid w:val="2C64359B"/>
    <w:rsid w:val="2C7C028F"/>
    <w:rsid w:val="2C836B81"/>
    <w:rsid w:val="2C851745"/>
    <w:rsid w:val="2C9E0D3B"/>
    <w:rsid w:val="2CB74A4F"/>
    <w:rsid w:val="2CB766A9"/>
    <w:rsid w:val="2CBD0004"/>
    <w:rsid w:val="2CC823E4"/>
    <w:rsid w:val="2CD02E7B"/>
    <w:rsid w:val="2CD40095"/>
    <w:rsid w:val="2CDE551A"/>
    <w:rsid w:val="2CEA71A1"/>
    <w:rsid w:val="2D0E4B9D"/>
    <w:rsid w:val="2D267337"/>
    <w:rsid w:val="2D57533A"/>
    <w:rsid w:val="2D8A5F61"/>
    <w:rsid w:val="2DA1324F"/>
    <w:rsid w:val="2DB05F11"/>
    <w:rsid w:val="2DCE54B8"/>
    <w:rsid w:val="2DE23593"/>
    <w:rsid w:val="2E065A42"/>
    <w:rsid w:val="2E152451"/>
    <w:rsid w:val="2E2270B7"/>
    <w:rsid w:val="2E4E0DC7"/>
    <w:rsid w:val="2E4F0C4D"/>
    <w:rsid w:val="2E5E5D9C"/>
    <w:rsid w:val="2E614614"/>
    <w:rsid w:val="2E7A2283"/>
    <w:rsid w:val="2EB76EEC"/>
    <w:rsid w:val="2EC575D6"/>
    <w:rsid w:val="2ECA6464"/>
    <w:rsid w:val="2EDA5F38"/>
    <w:rsid w:val="2EE17096"/>
    <w:rsid w:val="2EE6326C"/>
    <w:rsid w:val="2EF833EC"/>
    <w:rsid w:val="2F0222CB"/>
    <w:rsid w:val="2F205E99"/>
    <w:rsid w:val="2F2A2D82"/>
    <w:rsid w:val="2F4F1CF5"/>
    <w:rsid w:val="2F6F5B4E"/>
    <w:rsid w:val="2F752550"/>
    <w:rsid w:val="2FA4460A"/>
    <w:rsid w:val="2FB32CF2"/>
    <w:rsid w:val="2FBC1297"/>
    <w:rsid w:val="2FEA4C0E"/>
    <w:rsid w:val="2FFC483A"/>
    <w:rsid w:val="303D05A2"/>
    <w:rsid w:val="30676E22"/>
    <w:rsid w:val="306A08FA"/>
    <w:rsid w:val="30724F46"/>
    <w:rsid w:val="30A45B87"/>
    <w:rsid w:val="30D2718A"/>
    <w:rsid w:val="30F87D83"/>
    <w:rsid w:val="310B6EDC"/>
    <w:rsid w:val="311F452B"/>
    <w:rsid w:val="316C0E5E"/>
    <w:rsid w:val="317F2848"/>
    <w:rsid w:val="318504B9"/>
    <w:rsid w:val="31A65E79"/>
    <w:rsid w:val="31A87027"/>
    <w:rsid w:val="31D012E9"/>
    <w:rsid w:val="31E111EC"/>
    <w:rsid w:val="32435CA1"/>
    <w:rsid w:val="32465AF1"/>
    <w:rsid w:val="324E1955"/>
    <w:rsid w:val="32925DC1"/>
    <w:rsid w:val="329E1194"/>
    <w:rsid w:val="32B26463"/>
    <w:rsid w:val="32B97D6A"/>
    <w:rsid w:val="32BD0F03"/>
    <w:rsid w:val="32CC50ED"/>
    <w:rsid w:val="32D62EF5"/>
    <w:rsid w:val="32F73406"/>
    <w:rsid w:val="32FA4C96"/>
    <w:rsid w:val="32FF05F5"/>
    <w:rsid w:val="330F50C3"/>
    <w:rsid w:val="331D57B6"/>
    <w:rsid w:val="3322764A"/>
    <w:rsid w:val="33335955"/>
    <w:rsid w:val="337B2AE9"/>
    <w:rsid w:val="33BC5281"/>
    <w:rsid w:val="33EA3648"/>
    <w:rsid w:val="33F26B90"/>
    <w:rsid w:val="34064B61"/>
    <w:rsid w:val="340E69FB"/>
    <w:rsid w:val="34157066"/>
    <w:rsid w:val="34251E7C"/>
    <w:rsid w:val="345A7BC3"/>
    <w:rsid w:val="34677086"/>
    <w:rsid w:val="349240F9"/>
    <w:rsid w:val="34AA1E47"/>
    <w:rsid w:val="34DC27DB"/>
    <w:rsid w:val="34EA3F67"/>
    <w:rsid w:val="34FD4E3F"/>
    <w:rsid w:val="35471E53"/>
    <w:rsid w:val="354C02E1"/>
    <w:rsid w:val="35A90231"/>
    <w:rsid w:val="35AB1B8A"/>
    <w:rsid w:val="35BB6527"/>
    <w:rsid w:val="361B4D02"/>
    <w:rsid w:val="364434C0"/>
    <w:rsid w:val="364F25F3"/>
    <w:rsid w:val="36527DD0"/>
    <w:rsid w:val="365F25FA"/>
    <w:rsid w:val="366C6C89"/>
    <w:rsid w:val="36804E03"/>
    <w:rsid w:val="368278D4"/>
    <w:rsid w:val="368755F5"/>
    <w:rsid w:val="368F247C"/>
    <w:rsid w:val="36980834"/>
    <w:rsid w:val="36B66AC3"/>
    <w:rsid w:val="36DC1B3F"/>
    <w:rsid w:val="373E7B9E"/>
    <w:rsid w:val="374B42F0"/>
    <w:rsid w:val="37510DEB"/>
    <w:rsid w:val="375361E8"/>
    <w:rsid w:val="379023CC"/>
    <w:rsid w:val="37AC2DCF"/>
    <w:rsid w:val="37B208D0"/>
    <w:rsid w:val="37B60FFF"/>
    <w:rsid w:val="37B73333"/>
    <w:rsid w:val="37C42E90"/>
    <w:rsid w:val="37F562EE"/>
    <w:rsid w:val="380415D5"/>
    <w:rsid w:val="38226789"/>
    <w:rsid w:val="382C068D"/>
    <w:rsid w:val="383271C3"/>
    <w:rsid w:val="384B1584"/>
    <w:rsid w:val="386E36E4"/>
    <w:rsid w:val="386F17E7"/>
    <w:rsid w:val="38B34E23"/>
    <w:rsid w:val="38C3047C"/>
    <w:rsid w:val="39161E68"/>
    <w:rsid w:val="39651580"/>
    <w:rsid w:val="39872C7A"/>
    <w:rsid w:val="39BE4587"/>
    <w:rsid w:val="39BE4B01"/>
    <w:rsid w:val="39C16B4D"/>
    <w:rsid w:val="39D356D8"/>
    <w:rsid w:val="39DD3CF5"/>
    <w:rsid w:val="39FF1FDA"/>
    <w:rsid w:val="3A146EBD"/>
    <w:rsid w:val="3A1B46BA"/>
    <w:rsid w:val="3A2E2B17"/>
    <w:rsid w:val="3A7A6F91"/>
    <w:rsid w:val="3A8A02F5"/>
    <w:rsid w:val="3B074509"/>
    <w:rsid w:val="3B084FE8"/>
    <w:rsid w:val="3B0B2610"/>
    <w:rsid w:val="3B450399"/>
    <w:rsid w:val="3B5613E4"/>
    <w:rsid w:val="3B5C6CC7"/>
    <w:rsid w:val="3B924B0B"/>
    <w:rsid w:val="3B961E79"/>
    <w:rsid w:val="3BAC6EB2"/>
    <w:rsid w:val="3BC634C3"/>
    <w:rsid w:val="3BDB2814"/>
    <w:rsid w:val="3BEC4097"/>
    <w:rsid w:val="3BF328D3"/>
    <w:rsid w:val="3BF520C3"/>
    <w:rsid w:val="3C05506B"/>
    <w:rsid w:val="3C0E574C"/>
    <w:rsid w:val="3C28582D"/>
    <w:rsid w:val="3C2A796B"/>
    <w:rsid w:val="3C2C43EB"/>
    <w:rsid w:val="3C322A60"/>
    <w:rsid w:val="3C685D5E"/>
    <w:rsid w:val="3C782439"/>
    <w:rsid w:val="3CC619D5"/>
    <w:rsid w:val="3CD263FA"/>
    <w:rsid w:val="3CD85820"/>
    <w:rsid w:val="3CE52033"/>
    <w:rsid w:val="3D034078"/>
    <w:rsid w:val="3D1A2630"/>
    <w:rsid w:val="3D2358C2"/>
    <w:rsid w:val="3D383938"/>
    <w:rsid w:val="3D4142BC"/>
    <w:rsid w:val="3D7824F7"/>
    <w:rsid w:val="3D7A4C1C"/>
    <w:rsid w:val="3D9B6729"/>
    <w:rsid w:val="3DA16DCD"/>
    <w:rsid w:val="3DA8786F"/>
    <w:rsid w:val="3DAB0C8E"/>
    <w:rsid w:val="3E052173"/>
    <w:rsid w:val="3E2C608B"/>
    <w:rsid w:val="3EC94783"/>
    <w:rsid w:val="3F1F097D"/>
    <w:rsid w:val="3F2050D4"/>
    <w:rsid w:val="3F266F16"/>
    <w:rsid w:val="3F274D4A"/>
    <w:rsid w:val="3F2C4164"/>
    <w:rsid w:val="3F367001"/>
    <w:rsid w:val="3F452924"/>
    <w:rsid w:val="3F525D24"/>
    <w:rsid w:val="3F5565D0"/>
    <w:rsid w:val="3F572333"/>
    <w:rsid w:val="3F980358"/>
    <w:rsid w:val="3F991A36"/>
    <w:rsid w:val="3FAB13F6"/>
    <w:rsid w:val="3FF21474"/>
    <w:rsid w:val="3FFA19F2"/>
    <w:rsid w:val="400232B5"/>
    <w:rsid w:val="400D0FB3"/>
    <w:rsid w:val="401230E1"/>
    <w:rsid w:val="402938DC"/>
    <w:rsid w:val="40707C1B"/>
    <w:rsid w:val="4086120B"/>
    <w:rsid w:val="40892514"/>
    <w:rsid w:val="40D14BD8"/>
    <w:rsid w:val="40D76BC9"/>
    <w:rsid w:val="40EF4B9C"/>
    <w:rsid w:val="411C081D"/>
    <w:rsid w:val="411F1184"/>
    <w:rsid w:val="413F4EA1"/>
    <w:rsid w:val="41526FE4"/>
    <w:rsid w:val="41547DED"/>
    <w:rsid w:val="415D0DF8"/>
    <w:rsid w:val="41752616"/>
    <w:rsid w:val="41876185"/>
    <w:rsid w:val="41897430"/>
    <w:rsid w:val="42085FE4"/>
    <w:rsid w:val="421F153B"/>
    <w:rsid w:val="422852EC"/>
    <w:rsid w:val="423B29D7"/>
    <w:rsid w:val="42452BAB"/>
    <w:rsid w:val="424A7D0E"/>
    <w:rsid w:val="427116F5"/>
    <w:rsid w:val="429577E5"/>
    <w:rsid w:val="42F314D7"/>
    <w:rsid w:val="42F64E16"/>
    <w:rsid w:val="43004E7B"/>
    <w:rsid w:val="430B2B2C"/>
    <w:rsid w:val="431357AA"/>
    <w:rsid w:val="4344035B"/>
    <w:rsid w:val="43744B5C"/>
    <w:rsid w:val="437574C4"/>
    <w:rsid w:val="43A17423"/>
    <w:rsid w:val="43B120E8"/>
    <w:rsid w:val="43E63B75"/>
    <w:rsid w:val="443A1B87"/>
    <w:rsid w:val="443C2B9D"/>
    <w:rsid w:val="443C5834"/>
    <w:rsid w:val="44503E09"/>
    <w:rsid w:val="449E65BE"/>
    <w:rsid w:val="44B9124D"/>
    <w:rsid w:val="44E15436"/>
    <w:rsid w:val="44F02D80"/>
    <w:rsid w:val="451B7E86"/>
    <w:rsid w:val="4534353B"/>
    <w:rsid w:val="45396FDE"/>
    <w:rsid w:val="45531676"/>
    <w:rsid w:val="457C0727"/>
    <w:rsid w:val="45A76028"/>
    <w:rsid w:val="45CD6C63"/>
    <w:rsid w:val="45DF769F"/>
    <w:rsid w:val="462D46DE"/>
    <w:rsid w:val="462F7B4A"/>
    <w:rsid w:val="463B2C95"/>
    <w:rsid w:val="463F2298"/>
    <w:rsid w:val="465A48D8"/>
    <w:rsid w:val="469029E6"/>
    <w:rsid w:val="47215342"/>
    <w:rsid w:val="47353201"/>
    <w:rsid w:val="474E1588"/>
    <w:rsid w:val="47627161"/>
    <w:rsid w:val="476D7341"/>
    <w:rsid w:val="47B30C5B"/>
    <w:rsid w:val="47EF71F8"/>
    <w:rsid w:val="47FA42C5"/>
    <w:rsid w:val="48213F82"/>
    <w:rsid w:val="483A70CC"/>
    <w:rsid w:val="483E7AFE"/>
    <w:rsid w:val="4852797D"/>
    <w:rsid w:val="487637EC"/>
    <w:rsid w:val="48F53027"/>
    <w:rsid w:val="49306AE5"/>
    <w:rsid w:val="4945153D"/>
    <w:rsid w:val="49576E74"/>
    <w:rsid w:val="495D63BE"/>
    <w:rsid w:val="49647E7C"/>
    <w:rsid w:val="496A09A6"/>
    <w:rsid w:val="497B1156"/>
    <w:rsid w:val="497F7987"/>
    <w:rsid w:val="49A209BB"/>
    <w:rsid w:val="49A57D65"/>
    <w:rsid w:val="49D43110"/>
    <w:rsid w:val="49DC5917"/>
    <w:rsid w:val="4A127CC8"/>
    <w:rsid w:val="4A141AAD"/>
    <w:rsid w:val="4A4D60BA"/>
    <w:rsid w:val="4A5A1DD3"/>
    <w:rsid w:val="4A5E7D01"/>
    <w:rsid w:val="4A6E0568"/>
    <w:rsid w:val="4A8019CF"/>
    <w:rsid w:val="4AD624C0"/>
    <w:rsid w:val="4B0E69AC"/>
    <w:rsid w:val="4B2E6AB7"/>
    <w:rsid w:val="4B330227"/>
    <w:rsid w:val="4B45737A"/>
    <w:rsid w:val="4B790506"/>
    <w:rsid w:val="4B7D63E5"/>
    <w:rsid w:val="4B81666C"/>
    <w:rsid w:val="4B934B2C"/>
    <w:rsid w:val="4B941C04"/>
    <w:rsid w:val="4BC66AE2"/>
    <w:rsid w:val="4BD02F8D"/>
    <w:rsid w:val="4BE45BFB"/>
    <w:rsid w:val="4BE55CD0"/>
    <w:rsid w:val="4BE96235"/>
    <w:rsid w:val="4BF42C04"/>
    <w:rsid w:val="4C3C2AE9"/>
    <w:rsid w:val="4C4140C3"/>
    <w:rsid w:val="4C4B5523"/>
    <w:rsid w:val="4C610569"/>
    <w:rsid w:val="4C793B36"/>
    <w:rsid w:val="4CA01227"/>
    <w:rsid w:val="4CB8209C"/>
    <w:rsid w:val="4CBB1183"/>
    <w:rsid w:val="4CBE12C9"/>
    <w:rsid w:val="4CC47469"/>
    <w:rsid w:val="4CDD2272"/>
    <w:rsid w:val="4CE24973"/>
    <w:rsid w:val="4CFD0FC2"/>
    <w:rsid w:val="4D036D0C"/>
    <w:rsid w:val="4D050183"/>
    <w:rsid w:val="4D1A147B"/>
    <w:rsid w:val="4D1F45C8"/>
    <w:rsid w:val="4D3045CD"/>
    <w:rsid w:val="4D602211"/>
    <w:rsid w:val="4D67375F"/>
    <w:rsid w:val="4D6E07DF"/>
    <w:rsid w:val="4D791D9B"/>
    <w:rsid w:val="4D9114F3"/>
    <w:rsid w:val="4D953E1B"/>
    <w:rsid w:val="4DA14E16"/>
    <w:rsid w:val="4DB53985"/>
    <w:rsid w:val="4DD5346B"/>
    <w:rsid w:val="4E013383"/>
    <w:rsid w:val="4E544547"/>
    <w:rsid w:val="4E5824D9"/>
    <w:rsid w:val="4E65432A"/>
    <w:rsid w:val="4EB26514"/>
    <w:rsid w:val="4EB42C14"/>
    <w:rsid w:val="4EDB78D9"/>
    <w:rsid w:val="4EF43C9B"/>
    <w:rsid w:val="4EFC12AC"/>
    <w:rsid w:val="4F0B20DB"/>
    <w:rsid w:val="4F0D2A4B"/>
    <w:rsid w:val="4F1F540E"/>
    <w:rsid w:val="4F2425E4"/>
    <w:rsid w:val="4F3B2B8C"/>
    <w:rsid w:val="4F8A00C1"/>
    <w:rsid w:val="4F950FC3"/>
    <w:rsid w:val="4F99462C"/>
    <w:rsid w:val="4FB02756"/>
    <w:rsid w:val="4FB359B6"/>
    <w:rsid w:val="4FBD3CDD"/>
    <w:rsid w:val="4FF31B64"/>
    <w:rsid w:val="500D5BB3"/>
    <w:rsid w:val="502F38AB"/>
    <w:rsid w:val="504278CE"/>
    <w:rsid w:val="50493E17"/>
    <w:rsid w:val="507F5D34"/>
    <w:rsid w:val="50846AB8"/>
    <w:rsid w:val="50A21342"/>
    <w:rsid w:val="50A40047"/>
    <w:rsid w:val="50A65CDE"/>
    <w:rsid w:val="51301458"/>
    <w:rsid w:val="513121BD"/>
    <w:rsid w:val="515E522F"/>
    <w:rsid w:val="51724FA0"/>
    <w:rsid w:val="5187395C"/>
    <w:rsid w:val="51951E3C"/>
    <w:rsid w:val="51AC6704"/>
    <w:rsid w:val="51E77109"/>
    <w:rsid w:val="51F83BF5"/>
    <w:rsid w:val="5204259F"/>
    <w:rsid w:val="525C4074"/>
    <w:rsid w:val="527F524D"/>
    <w:rsid w:val="529F1AB4"/>
    <w:rsid w:val="52C63A50"/>
    <w:rsid w:val="53044C80"/>
    <w:rsid w:val="530E72EA"/>
    <w:rsid w:val="53200BC8"/>
    <w:rsid w:val="533E5294"/>
    <w:rsid w:val="5345642E"/>
    <w:rsid w:val="534929AC"/>
    <w:rsid w:val="5356396E"/>
    <w:rsid w:val="538572E0"/>
    <w:rsid w:val="53CC1544"/>
    <w:rsid w:val="53FB7C8E"/>
    <w:rsid w:val="5432377F"/>
    <w:rsid w:val="547C061E"/>
    <w:rsid w:val="549C08B0"/>
    <w:rsid w:val="549C273A"/>
    <w:rsid w:val="54B150EB"/>
    <w:rsid w:val="54B17E20"/>
    <w:rsid w:val="54B65105"/>
    <w:rsid w:val="54DA4424"/>
    <w:rsid w:val="54DF3C1F"/>
    <w:rsid w:val="54F235C6"/>
    <w:rsid w:val="54F27388"/>
    <w:rsid w:val="550632F7"/>
    <w:rsid w:val="551F19DA"/>
    <w:rsid w:val="55245589"/>
    <w:rsid w:val="5536536C"/>
    <w:rsid w:val="5561625E"/>
    <w:rsid w:val="55832291"/>
    <w:rsid w:val="5587464B"/>
    <w:rsid w:val="55925D9C"/>
    <w:rsid w:val="55B70887"/>
    <w:rsid w:val="55BF7A9A"/>
    <w:rsid w:val="562B369A"/>
    <w:rsid w:val="56534025"/>
    <w:rsid w:val="56CA12A0"/>
    <w:rsid w:val="56F23466"/>
    <w:rsid w:val="57010A41"/>
    <w:rsid w:val="570A5717"/>
    <w:rsid w:val="571F0772"/>
    <w:rsid w:val="574578CA"/>
    <w:rsid w:val="577F12ED"/>
    <w:rsid w:val="5784271A"/>
    <w:rsid w:val="57845717"/>
    <w:rsid w:val="57902E22"/>
    <w:rsid w:val="57B0719D"/>
    <w:rsid w:val="57CA6F7A"/>
    <w:rsid w:val="57D547F8"/>
    <w:rsid w:val="57E164F3"/>
    <w:rsid w:val="57EB1414"/>
    <w:rsid w:val="5828516E"/>
    <w:rsid w:val="584A02A7"/>
    <w:rsid w:val="585A40DA"/>
    <w:rsid w:val="5861507C"/>
    <w:rsid w:val="58935D9D"/>
    <w:rsid w:val="58A71AEA"/>
    <w:rsid w:val="58AB1546"/>
    <w:rsid w:val="58C30F12"/>
    <w:rsid w:val="58D67552"/>
    <w:rsid w:val="58D9130D"/>
    <w:rsid w:val="59190967"/>
    <w:rsid w:val="5953010C"/>
    <w:rsid w:val="5956092D"/>
    <w:rsid w:val="597F3983"/>
    <w:rsid w:val="5990232C"/>
    <w:rsid w:val="59D2704A"/>
    <w:rsid w:val="59DD2332"/>
    <w:rsid w:val="59F121C5"/>
    <w:rsid w:val="5A0B31FE"/>
    <w:rsid w:val="5A127C23"/>
    <w:rsid w:val="5A2F1867"/>
    <w:rsid w:val="5A32066B"/>
    <w:rsid w:val="5A3A72AE"/>
    <w:rsid w:val="5A740CBD"/>
    <w:rsid w:val="5A883A7F"/>
    <w:rsid w:val="5A97689C"/>
    <w:rsid w:val="5AA05FE7"/>
    <w:rsid w:val="5AA270EA"/>
    <w:rsid w:val="5AA71962"/>
    <w:rsid w:val="5ABB5BC0"/>
    <w:rsid w:val="5AC94CD3"/>
    <w:rsid w:val="5AD51D7C"/>
    <w:rsid w:val="5AD55708"/>
    <w:rsid w:val="5AEF2ECA"/>
    <w:rsid w:val="5B1C13CF"/>
    <w:rsid w:val="5B306F6D"/>
    <w:rsid w:val="5B320FE3"/>
    <w:rsid w:val="5B4360DE"/>
    <w:rsid w:val="5B437541"/>
    <w:rsid w:val="5B641A39"/>
    <w:rsid w:val="5B6B183D"/>
    <w:rsid w:val="5B7B26B6"/>
    <w:rsid w:val="5B8F3516"/>
    <w:rsid w:val="5BEC60E1"/>
    <w:rsid w:val="5C004BD4"/>
    <w:rsid w:val="5C330087"/>
    <w:rsid w:val="5C3B1449"/>
    <w:rsid w:val="5C637E4A"/>
    <w:rsid w:val="5C7602AC"/>
    <w:rsid w:val="5CC05EBA"/>
    <w:rsid w:val="5D087E79"/>
    <w:rsid w:val="5D122F57"/>
    <w:rsid w:val="5D302DFD"/>
    <w:rsid w:val="5D342D77"/>
    <w:rsid w:val="5D4509F0"/>
    <w:rsid w:val="5D571EF9"/>
    <w:rsid w:val="5D73043F"/>
    <w:rsid w:val="5D8278FE"/>
    <w:rsid w:val="5D847113"/>
    <w:rsid w:val="5E1D725F"/>
    <w:rsid w:val="5E1E1BF9"/>
    <w:rsid w:val="5E4C41FA"/>
    <w:rsid w:val="5E4D7F06"/>
    <w:rsid w:val="5E782C1F"/>
    <w:rsid w:val="5EA226CC"/>
    <w:rsid w:val="5EA910CD"/>
    <w:rsid w:val="5ECE2752"/>
    <w:rsid w:val="5ED41E5F"/>
    <w:rsid w:val="5EE11388"/>
    <w:rsid w:val="5F1B5DFE"/>
    <w:rsid w:val="5F1E23F1"/>
    <w:rsid w:val="5F227CB4"/>
    <w:rsid w:val="5F4E6765"/>
    <w:rsid w:val="5F567C32"/>
    <w:rsid w:val="5F5E0278"/>
    <w:rsid w:val="5F604092"/>
    <w:rsid w:val="5F800665"/>
    <w:rsid w:val="5F881937"/>
    <w:rsid w:val="5FFC504A"/>
    <w:rsid w:val="602105BD"/>
    <w:rsid w:val="607C77C9"/>
    <w:rsid w:val="60B90940"/>
    <w:rsid w:val="60BE4E12"/>
    <w:rsid w:val="60D65481"/>
    <w:rsid w:val="60FC4570"/>
    <w:rsid w:val="60FD4F4B"/>
    <w:rsid w:val="611E7235"/>
    <w:rsid w:val="6121775B"/>
    <w:rsid w:val="61761A55"/>
    <w:rsid w:val="617751E6"/>
    <w:rsid w:val="618409D7"/>
    <w:rsid w:val="61890C3D"/>
    <w:rsid w:val="61C5336D"/>
    <w:rsid w:val="61CF7536"/>
    <w:rsid w:val="61DF18F8"/>
    <w:rsid w:val="61EE5207"/>
    <w:rsid w:val="6203014F"/>
    <w:rsid w:val="6230008D"/>
    <w:rsid w:val="623C2BA0"/>
    <w:rsid w:val="6254604D"/>
    <w:rsid w:val="627E4F41"/>
    <w:rsid w:val="628376E7"/>
    <w:rsid w:val="62A82770"/>
    <w:rsid w:val="62BA0AF0"/>
    <w:rsid w:val="62E87467"/>
    <w:rsid w:val="632D3478"/>
    <w:rsid w:val="6331066A"/>
    <w:rsid w:val="63710A29"/>
    <w:rsid w:val="637E5817"/>
    <w:rsid w:val="63803D21"/>
    <w:rsid w:val="638618CD"/>
    <w:rsid w:val="63870115"/>
    <w:rsid w:val="638B6AB8"/>
    <w:rsid w:val="63DF039D"/>
    <w:rsid w:val="63DF238E"/>
    <w:rsid w:val="63E76E1C"/>
    <w:rsid w:val="63ED1244"/>
    <w:rsid w:val="64084F63"/>
    <w:rsid w:val="6436505B"/>
    <w:rsid w:val="6454112C"/>
    <w:rsid w:val="64934D5B"/>
    <w:rsid w:val="64BD2448"/>
    <w:rsid w:val="64C75226"/>
    <w:rsid w:val="64F72F21"/>
    <w:rsid w:val="651440BB"/>
    <w:rsid w:val="651D2E60"/>
    <w:rsid w:val="652D59EE"/>
    <w:rsid w:val="65305EB7"/>
    <w:rsid w:val="656B1AAE"/>
    <w:rsid w:val="657D66BA"/>
    <w:rsid w:val="65A94EFC"/>
    <w:rsid w:val="65DE257F"/>
    <w:rsid w:val="663421D8"/>
    <w:rsid w:val="667A76CB"/>
    <w:rsid w:val="66AB1318"/>
    <w:rsid w:val="66BF39F0"/>
    <w:rsid w:val="66F335B4"/>
    <w:rsid w:val="67216F14"/>
    <w:rsid w:val="675E4603"/>
    <w:rsid w:val="67776B48"/>
    <w:rsid w:val="677E29C8"/>
    <w:rsid w:val="67F80F33"/>
    <w:rsid w:val="68110BD4"/>
    <w:rsid w:val="6851614D"/>
    <w:rsid w:val="68562076"/>
    <w:rsid w:val="68700DAA"/>
    <w:rsid w:val="68A01D16"/>
    <w:rsid w:val="68B12DEB"/>
    <w:rsid w:val="68B21346"/>
    <w:rsid w:val="68C620B1"/>
    <w:rsid w:val="68C67607"/>
    <w:rsid w:val="68FD759A"/>
    <w:rsid w:val="690A4A0E"/>
    <w:rsid w:val="690D17DD"/>
    <w:rsid w:val="690D46EA"/>
    <w:rsid w:val="69376B75"/>
    <w:rsid w:val="69641DD0"/>
    <w:rsid w:val="696E6EBE"/>
    <w:rsid w:val="69792F96"/>
    <w:rsid w:val="69814AFB"/>
    <w:rsid w:val="698F5939"/>
    <w:rsid w:val="69A1650E"/>
    <w:rsid w:val="69E840ED"/>
    <w:rsid w:val="6A4343D4"/>
    <w:rsid w:val="6A5D3A16"/>
    <w:rsid w:val="6A6C0BF4"/>
    <w:rsid w:val="6A7B7C05"/>
    <w:rsid w:val="6AB33CD1"/>
    <w:rsid w:val="6AB525A1"/>
    <w:rsid w:val="6AB61C1B"/>
    <w:rsid w:val="6AE577FC"/>
    <w:rsid w:val="6AF22575"/>
    <w:rsid w:val="6B0121DD"/>
    <w:rsid w:val="6B260450"/>
    <w:rsid w:val="6BA221AA"/>
    <w:rsid w:val="6BE46121"/>
    <w:rsid w:val="6C1E7D6A"/>
    <w:rsid w:val="6C2125CC"/>
    <w:rsid w:val="6C43486C"/>
    <w:rsid w:val="6C89553B"/>
    <w:rsid w:val="6CA07E76"/>
    <w:rsid w:val="6CD35527"/>
    <w:rsid w:val="6CFD0280"/>
    <w:rsid w:val="6D07719C"/>
    <w:rsid w:val="6D443280"/>
    <w:rsid w:val="6D7F5EC8"/>
    <w:rsid w:val="6D9F1458"/>
    <w:rsid w:val="6DA42A18"/>
    <w:rsid w:val="6DAE3785"/>
    <w:rsid w:val="6DD47924"/>
    <w:rsid w:val="6DFE084A"/>
    <w:rsid w:val="6E062C32"/>
    <w:rsid w:val="6E0709E6"/>
    <w:rsid w:val="6E0B309C"/>
    <w:rsid w:val="6E11154C"/>
    <w:rsid w:val="6E3F23E6"/>
    <w:rsid w:val="6E923369"/>
    <w:rsid w:val="6EEC7A03"/>
    <w:rsid w:val="6EED5EFD"/>
    <w:rsid w:val="6EFD5975"/>
    <w:rsid w:val="6F1204B5"/>
    <w:rsid w:val="6F281309"/>
    <w:rsid w:val="6F347214"/>
    <w:rsid w:val="6F443DD2"/>
    <w:rsid w:val="6F77532A"/>
    <w:rsid w:val="6F7B69D1"/>
    <w:rsid w:val="6F973478"/>
    <w:rsid w:val="6F995D6A"/>
    <w:rsid w:val="6FDB7DCA"/>
    <w:rsid w:val="700C2D28"/>
    <w:rsid w:val="700C3A92"/>
    <w:rsid w:val="703E264A"/>
    <w:rsid w:val="706F652E"/>
    <w:rsid w:val="7075272E"/>
    <w:rsid w:val="707C06CE"/>
    <w:rsid w:val="708C0D7A"/>
    <w:rsid w:val="70963972"/>
    <w:rsid w:val="709F74C4"/>
    <w:rsid w:val="70A07213"/>
    <w:rsid w:val="70C4474B"/>
    <w:rsid w:val="70E81083"/>
    <w:rsid w:val="70EA09BA"/>
    <w:rsid w:val="70FB68F1"/>
    <w:rsid w:val="71167327"/>
    <w:rsid w:val="71185BA5"/>
    <w:rsid w:val="713935BA"/>
    <w:rsid w:val="714155CA"/>
    <w:rsid w:val="7182345C"/>
    <w:rsid w:val="71841753"/>
    <w:rsid w:val="71D816DB"/>
    <w:rsid w:val="71E42D78"/>
    <w:rsid w:val="71F053A9"/>
    <w:rsid w:val="720549D1"/>
    <w:rsid w:val="720B651C"/>
    <w:rsid w:val="72141737"/>
    <w:rsid w:val="722E2221"/>
    <w:rsid w:val="72641E21"/>
    <w:rsid w:val="728C498A"/>
    <w:rsid w:val="728F04F8"/>
    <w:rsid w:val="729F1D11"/>
    <w:rsid w:val="72A4491C"/>
    <w:rsid w:val="72A648CB"/>
    <w:rsid w:val="72BA6AC7"/>
    <w:rsid w:val="72E03F3A"/>
    <w:rsid w:val="72E101AD"/>
    <w:rsid w:val="72F158DB"/>
    <w:rsid w:val="731C77A6"/>
    <w:rsid w:val="732E4ADA"/>
    <w:rsid w:val="73390D22"/>
    <w:rsid w:val="736A32AB"/>
    <w:rsid w:val="737404CF"/>
    <w:rsid w:val="74006268"/>
    <w:rsid w:val="742321B8"/>
    <w:rsid w:val="744100B3"/>
    <w:rsid w:val="74886C30"/>
    <w:rsid w:val="74D037E0"/>
    <w:rsid w:val="753C3DB8"/>
    <w:rsid w:val="75462FCD"/>
    <w:rsid w:val="75565543"/>
    <w:rsid w:val="75862D57"/>
    <w:rsid w:val="75987462"/>
    <w:rsid w:val="75B35F30"/>
    <w:rsid w:val="75B372FF"/>
    <w:rsid w:val="75CB2658"/>
    <w:rsid w:val="75CF0FD3"/>
    <w:rsid w:val="75EB6E4A"/>
    <w:rsid w:val="75F21EAA"/>
    <w:rsid w:val="75F53084"/>
    <w:rsid w:val="760A2149"/>
    <w:rsid w:val="76197A87"/>
    <w:rsid w:val="765B3F07"/>
    <w:rsid w:val="76782639"/>
    <w:rsid w:val="76A157D7"/>
    <w:rsid w:val="76C3082B"/>
    <w:rsid w:val="76EA23E6"/>
    <w:rsid w:val="76F06368"/>
    <w:rsid w:val="77025AAF"/>
    <w:rsid w:val="77233640"/>
    <w:rsid w:val="77316A59"/>
    <w:rsid w:val="77FF6F9F"/>
    <w:rsid w:val="78043975"/>
    <w:rsid w:val="78177F85"/>
    <w:rsid w:val="782235E2"/>
    <w:rsid w:val="78236BA2"/>
    <w:rsid w:val="783642E4"/>
    <w:rsid w:val="7843728B"/>
    <w:rsid w:val="78621430"/>
    <w:rsid w:val="788A060B"/>
    <w:rsid w:val="78AF01CC"/>
    <w:rsid w:val="78B83BDE"/>
    <w:rsid w:val="78BE474C"/>
    <w:rsid w:val="78CF7A12"/>
    <w:rsid w:val="78E257B5"/>
    <w:rsid w:val="78E752D7"/>
    <w:rsid w:val="78F02F87"/>
    <w:rsid w:val="78FA44A3"/>
    <w:rsid w:val="79093107"/>
    <w:rsid w:val="79304D98"/>
    <w:rsid w:val="79497FFD"/>
    <w:rsid w:val="796A3CD4"/>
    <w:rsid w:val="797B1379"/>
    <w:rsid w:val="79867684"/>
    <w:rsid w:val="79AF0891"/>
    <w:rsid w:val="79B30E92"/>
    <w:rsid w:val="79C15F0D"/>
    <w:rsid w:val="79F1485C"/>
    <w:rsid w:val="7A3C6451"/>
    <w:rsid w:val="7A446F92"/>
    <w:rsid w:val="7A4C50AB"/>
    <w:rsid w:val="7A69088F"/>
    <w:rsid w:val="7A693705"/>
    <w:rsid w:val="7A6A60B7"/>
    <w:rsid w:val="7A6D06E5"/>
    <w:rsid w:val="7A7475F1"/>
    <w:rsid w:val="7A911F87"/>
    <w:rsid w:val="7AD11AFB"/>
    <w:rsid w:val="7AD66DCF"/>
    <w:rsid w:val="7AE04388"/>
    <w:rsid w:val="7AF0351A"/>
    <w:rsid w:val="7AF14DE0"/>
    <w:rsid w:val="7B02580B"/>
    <w:rsid w:val="7B074476"/>
    <w:rsid w:val="7B0A6988"/>
    <w:rsid w:val="7B0C61EB"/>
    <w:rsid w:val="7B1F2BE0"/>
    <w:rsid w:val="7B554EB3"/>
    <w:rsid w:val="7B6A0A49"/>
    <w:rsid w:val="7B81090A"/>
    <w:rsid w:val="7C0116F9"/>
    <w:rsid w:val="7C155CD9"/>
    <w:rsid w:val="7C313257"/>
    <w:rsid w:val="7C330352"/>
    <w:rsid w:val="7C46689D"/>
    <w:rsid w:val="7C470F89"/>
    <w:rsid w:val="7C944B24"/>
    <w:rsid w:val="7CB858A4"/>
    <w:rsid w:val="7D30622A"/>
    <w:rsid w:val="7D364D84"/>
    <w:rsid w:val="7D5C379D"/>
    <w:rsid w:val="7D8C7416"/>
    <w:rsid w:val="7DBA6FFE"/>
    <w:rsid w:val="7DC979D0"/>
    <w:rsid w:val="7DD23DB9"/>
    <w:rsid w:val="7DD742C4"/>
    <w:rsid w:val="7DE25F0F"/>
    <w:rsid w:val="7DE804D2"/>
    <w:rsid w:val="7E0A7E41"/>
    <w:rsid w:val="7E3F2ED5"/>
    <w:rsid w:val="7E512440"/>
    <w:rsid w:val="7E560FA9"/>
    <w:rsid w:val="7E744776"/>
    <w:rsid w:val="7E7D1FBF"/>
    <w:rsid w:val="7E8606F1"/>
    <w:rsid w:val="7E8C50EF"/>
    <w:rsid w:val="7EA139D3"/>
    <w:rsid w:val="7EA8430F"/>
    <w:rsid w:val="7EC61244"/>
    <w:rsid w:val="7EE32AEE"/>
    <w:rsid w:val="7F01512B"/>
    <w:rsid w:val="7F4079D7"/>
    <w:rsid w:val="7F564464"/>
    <w:rsid w:val="7F6B2679"/>
    <w:rsid w:val="7F8C7C19"/>
    <w:rsid w:val="7FA80DF5"/>
    <w:rsid w:val="7FB93225"/>
    <w:rsid w:val="7FF72FB7"/>
    <w:rsid w:val="7FF924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spacing w:line="240" w:lineRule="atLeast"/>
      <w:jc w:val="both"/>
    </w:pPr>
    <w:rPr>
      <w:rFonts w:ascii="Times New Roman" w:hAnsi="Times New Roman" w:eastAsia="仿宋_GB2312" w:cs="Times New Roman"/>
      <w:spacing w:val="0"/>
      <w:kern w:val="2"/>
      <w:sz w:val="32"/>
      <w:lang w:val="en-US" w:eastAsia="zh-CN"/>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2025-06-05T07:07:00Z</dcterms:created>
  <dc:creator>Administrator</dc:creator>
  <cp:lastModifiedBy>Administrator</cp:lastModifiedBy>
  <dcterms:modified xsi:type="dcterms:W3CDTF">2025-06-05T07:07:41Z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4A61809AF1C74F71AB9E539F14EF5078</vt:lpwstr>
  </property>
</Properties>
</file>